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1A" w:rsidRPr="00CA0C69" w:rsidRDefault="00884E1A" w:rsidP="00CA0C69">
      <w:pPr>
        <w:spacing w:line="480" w:lineRule="auto"/>
        <w:rPr>
          <w:rFonts w:ascii="Times New Roman" w:hAnsi="Times New Roman" w:cs="Times New Roman"/>
          <w:b/>
          <w:sz w:val="24"/>
          <w:szCs w:val="24"/>
        </w:rPr>
      </w:pPr>
    </w:p>
    <w:p w:rsidR="00884E1A" w:rsidRPr="00CA0C69" w:rsidRDefault="00884E1A" w:rsidP="00CA0C69">
      <w:pPr>
        <w:spacing w:line="480" w:lineRule="auto"/>
        <w:rPr>
          <w:rFonts w:ascii="Times New Roman" w:hAnsi="Times New Roman" w:cs="Times New Roman"/>
          <w:b/>
          <w:sz w:val="24"/>
          <w:szCs w:val="24"/>
        </w:rPr>
      </w:pPr>
    </w:p>
    <w:p w:rsidR="00884E1A" w:rsidRPr="00CA0C69" w:rsidRDefault="00884E1A" w:rsidP="00CA0C69">
      <w:pPr>
        <w:spacing w:line="480" w:lineRule="auto"/>
        <w:rPr>
          <w:rFonts w:ascii="Times New Roman" w:hAnsi="Times New Roman" w:cs="Times New Roman"/>
          <w:b/>
          <w:sz w:val="24"/>
          <w:szCs w:val="24"/>
        </w:rPr>
      </w:pPr>
    </w:p>
    <w:p w:rsidR="00884E1A" w:rsidRPr="00CA0C69" w:rsidRDefault="00884E1A" w:rsidP="00CA0C69">
      <w:pPr>
        <w:spacing w:line="480" w:lineRule="auto"/>
        <w:rPr>
          <w:rFonts w:ascii="Times New Roman" w:hAnsi="Times New Roman" w:cs="Times New Roman"/>
          <w:b/>
          <w:sz w:val="24"/>
          <w:szCs w:val="24"/>
        </w:rPr>
      </w:pPr>
    </w:p>
    <w:p w:rsidR="00884E1A" w:rsidRPr="00CA0C69" w:rsidRDefault="00884E1A" w:rsidP="00CA0C69">
      <w:pPr>
        <w:spacing w:line="480" w:lineRule="auto"/>
        <w:rPr>
          <w:rFonts w:ascii="Times New Roman" w:hAnsi="Times New Roman" w:cs="Times New Roman"/>
          <w:b/>
          <w:sz w:val="24"/>
          <w:szCs w:val="24"/>
        </w:rPr>
      </w:pPr>
    </w:p>
    <w:p w:rsidR="00D16058" w:rsidRPr="00CA0C69" w:rsidRDefault="00481ABD" w:rsidP="00CA0C69">
      <w:pPr>
        <w:spacing w:line="480" w:lineRule="auto"/>
        <w:rPr>
          <w:rFonts w:ascii="Times New Roman" w:hAnsi="Times New Roman" w:cs="Times New Roman"/>
          <w:sz w:val="24"/>
          <w:szCs w:val="24"/>
        </w:rPr>
      </w:pPr>
      <w:r w:rsidRPr="00CA0C69">
        <w:rPr>
          <w:rFonts w:ascii="Times New Roman" w:hAnsi="Times New Roman" w:cs="Times New Roman"/>
          <w:sz w:val="24"/>
          <w:szCs w:val="24"/>
        </w:rPr>
        <w:t>Topic: Sustainability of Industrial Supply Companies in a Saturated Market: A Saudi Perspective</w:t>
      </w:r>
    </w:p>
    <w:p w:rsidR="00884E1A" w:rsidRPr="00CA0C69" w:rsidRDefault="00481ABD" w:rsidP="00CA0C69">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Name</w:t>
      </w:r>
    </w:p>
    <w:p w:rsidR="00884E1A" w:rsidRPr="00CA0C69" w:rsidRDefault="00481ABD" w:rsidP="00CA0C69">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Institution</w:t>
      </w: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884E1A" w:rsidRPr="00CA0C69" w:rsidRDefault="00884E1A" w:rsidP="00CA0C69">
      <w:pPr>
        <w:spacing w:line="480" w:lineRule="auto"/>
        <w:rPr>
          <w:rFonts w:ascii="Times New Roman" w:hAnsi="Times New Roman" w:cs="Times New Roman"/>
          <w:b/>
          <w:sz w:val="24"/>
          <w:szCs w:val="24"/>
        </w:rPr>
      </w:pPr>
    </w:p>
    <w:p w:rsidR="00884E1A" w:rsidRPr="00CA0C69" w:rsidRDefault="00884E1A" w:rsidP="00CA0C69">
      <w:pPr>
        <w:spacing w:line="480" w:lineRule="auto"/>
        <w:jc w:val="center"/>
        <w:rPr>
          <w:rFonts w:ascii="Times New Roman" w:hAnsi="Times New Roman" w:cs="Times New Roman"/>
          <w:b/>
          <w:sz w:val="24"/>
          <w:szCs w:val="24"/>
        </w:rPr>
      </w:pPr>
    </w:p>
    <w:p w:rsidR="00EF4C3F" w:rsidRPr="00CA0C69" w:rsidRDefault="00481ABD" w:rsidP="00CA0C69">
      <w:pPr>
        <w:pStyle w:val="ListParagraph"/>
        <w:numPr>
          <w:ilvl w:val="0"/>
          <w:numId w:val="1"/>
        </w:numPr>
        <w:autoSpaceDE w:val="0"/>
        <w:autoSpaceDN w:val="0"/>
        <w:adjustRightInd w:val="0"/>
        <w:spacing w:after="0" w:line="480" w:lineRule="auto"/>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lastRenderedPageBreak/>
        <w:t xml:space="preserve">RESEARCH METHODOLOGY </w:t>
      </w:r>
    </w:p>
    <w:p w:rsidR="00EF4C3F" w:rsidRPr="00CA0C69" w:rsidRDefault="00481ABD" w:rsidP="00CA0C69">
      <w:pPr>
        <w:autoSpaceDE w:val="0"/>
        <w:autoSpaceDN w:val="0"/>
        <w:adjustRightInd w:val="0"/>
        <w:spacing w:after="0" w:line="480" w:lineRule="auto"/>
        <w:ind w:left="60"/>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1.1 Introduction</w:t>
      </w:r>
    </w:p>
    <w:p w:rsidR="00EF4C3F" w:rsidRPr="00CA0C69" w:rsidRDefault="00481ABD" w:rsidP="00CA0C69">
      <w:pPr>
        <w:spacing w:line="480" w:lineRule="auto"/>
        <w:ind w:firstLine="720"/>
        <w:rPr>
          <w:rFonts w:ascii="Times New Roman" w:eastAsia="TimesNewRomanPSMT" w:hAnsi="Times New Roman" w:cs="Times New Roman"/>
          <w:bCs/>
          <w:sz w:val="24"/>
          <w:szCs w:val="24"/>
        </w:rPr>
      </w:pPr>
      <w:r w:rsidRPr="00CA0C69">
        <w:rPr>
          <w:rFonts w:ascii="Times New Roman" w:eastAsia="TimesNewRomanPSMT" w:hAnsi="Times New Roman" w:cs="Times New Roman"/>
          <w:bCs/>
          <w:sz w:val="24"/>
          <w:szCs w:val="24"/>
        </w:rPr>
        <w:t xml:space="preserve">The nature of this study according to </w:t>
      </w:r>
      <w:r w:rsidRPr="00CA0C69">
        <w:rPr>
          <w:rFonts w:ascii="Times New Roman" w:hAnsi="Times New Roman" w:cs="Times New Roman"/>
          <w:sz w:val="24"/>
          <w:szCs w:val="24"/>
          <w:shd w:val="clear" w:color="auto" w:fill="FFFFFF"/>
        </w:rPr>
        <w:t xml:space="preserve">Maloney and Beilock (2012) </w:t>
      </w:r>
      <w:r w:rsidRPr="00CA0C69">
        <w:rPr>
          <w:rFonts w:ascii="Times New Roman" w:eastAsia="TimesNewRomanPSMT" w:hAnsi="Times New Roman" w:cs="Times New Roman"/>
          <w:bCs/>
          <w:sz w:val="24"/>
          <w:szCs w:val="24"/>
        </w:rPr>
        <w:t xml:space="preserve">is quantitative since it is </w:t>
      </w:r>
      <w:r w:rsidR="00781144" w:rsidRPr="00CA0C69">
        <w:rPr>
          <w:rFonts w:ascii="Times New Roman" w:eastAsia="TimesNewRomanPSMT" w:hAnsi="Times New Roman" w:cs="Times New Roman"/>
          <w:bCs/>
          <w:sz w:val="24"/>
          <w:szCs w:val="24"/>
        </w:rPr>
        <w:t xml:space="preserve">investigating the </w:t>
      </w:r>
      <w:r w:rsidR="00781144" w:rsidRPr="00CA0C69">
        <w:rPr>
          <w:rFonts w:ascii="Times New Roman" w:hAnsi="Times New Roman" w:cs="Times New Roman"/>
          <w:sz w:val="24"/>
          <w:szCs w:val="24"/>
        </w:rPr>
        <w:t>sustainability of industrial supply companies in a saturated market</w:t>
      </w:r>
      <w:r w:rsidRPr="00CA0C69">
        <w:rPr>
          <w:rFonts w:ascii="Times New Roman" w:eastAsia="TimesNewRomanPSMT" w:hAnsi="Times New Roman" w:cs="Times New Roman"/>
          <w:bCs/>
          <w:sz w:val="24"/>
          <w:szCs w:val="24"/>
        </w:rPr>
        <w:t xml:space="preserve">. The R-MANX type of survey was utilized in the collection of data from the surveyed </w:t>
      </w:r>
      <w:r w:rsidR="00B813B7" w:rsidRPr="00CA0C69">
        <w:rPr>
          <w:rFonts w:ascii="Times New Roman" w:eastAsia="TimesNewRomanPSMT" w:hAnsi="Times New Roman" w:cs="Times New Roman"/>
          <w:bCs/>
          <w:sz w:val="24"/>
          <w:szCs w:val="24"/>
        </w:rPr>
        <w:t>respondent</w:t>
      </w:r>
      <w:r w:rsidRPr="00CA0C69">
        <w:rPr>
          <w:rFonts w:ascii="Times New Roman" w:eastAsia="TimesNewRomanPSMT" w:hAnsi="Times New Roman" w:cs="Times New Roman"/>
          <w:bCs/>
          <w:sz w:val="24"/>
          <w:szCs w:val="24"/>
        </w:rPr>
        <w:t xml:space="preserve">. The survey had thirty statements in total where every participant and graded on a scale of 1 for never and 5 for always. The statements provided the description of the </w:t>
      </w:r>
      <w:r w:rsidR="00B813B7" w:rsidRPr="00CA0C69">
        <w:rPr>
          <w:rFonts w:ascii="Times New Roman" w:eastAsia="TimesNewRomanPSMT" w:hAnsi="Times New Roman" w:cs="Times New Roman"/>
          <w:bCs/>
          <w:sz w:val="24"/>
          <w:szCs w:val="24"/>
        </w:rPr>
        <w:t xml:space="preserve">nature of the market about the sustainability of industrial supply among firms in Saudi Arabia. The feedback was rated as sustainability </w:t>
      </w:r>
      <w:r w:rsidRPr="00CA0C69">
        <w:rPr>
          <w:rFonts w:ascii="Times New Roman" w:eastAsia="TimesNewRomanPSMT" w:hAnsi="Times New Roman" w:cs="Times New Roman"/>
          <w:bCs/>
          <w:sz w:val="24"/>
          <w:szCs w:val="24"/>
        </w:rPr>
        <w:t>levels where the respondents believed they would go through in the prevailing conditions</w:t>
      </w:r>
      <w:r w:rsidR="00B813B7" w:rsidRPr="00CA0C69">
        <w:rPr>
          <w:rFonts w:ascii="Times New Roman" w:eastAsia="TimesNewRomanPSMT" w:hAnsi="Times New Roman" w:cs="Times New Roman"/>
          <w:bCs/>
          <w:sz w:val="24"/>
          <w:szCs w:val="24"/>
        </w:rPr>
        <w:t xml:space="preserve"> in the saturated market</w:t>
      </w:r>
      <w:r w:rsidRPr="00CA0C69">
        <w:rPr>
          <w:rFonts w:ascii="Times New Roman" w:hAnsi="Times New Roman" w:cs="Times New Roman"/>
          <w:color w:val="222222"/>
          <w:sz w:val="24"/>
          <w:szCs w:val="24"/>
          <w:shd w:val="clear" w:color="auto" w:fill="FFFFFF"/>
        </w:rPr>
        <w:t xml:space="preserve"> (Taylor, Bogdan, and DeVault, 2015)</w:t>
      </w:r>
      <w:r w:rsidRPr="00CA0C69">
        <w:rPr>
          <w:rFonts w:ascii="Times New Roman" w:eastAsia="TimesNewRomanPSMT" w:hAnsi="Times New Roman" w:cs="Times New Roman"/>
          <w:bCs/>
          <w:sz w:val="24"/>
          <w:szCs w:val="24"/>
        </w:rPr>
        <w:t xml:space="preserve">. The survey was initially tested before proceeding to administer to a large group of students. The assessment of the plot revealed the tool had reliability with Cronbach Alpha coefficient value of 0.86 that was acceptable. </w:t>
      </w:r>
    </w:p>
    <w:p w:rsidR="00EF4C3F" w:rsidRPr="00CA0C69" w:rsidRDefault="00481ABD" w:rsidP="00CA0C69">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bCs/>
          <w:sz w:val="24"/>
          <w:szCs w:val="24"/>
        </w:rPr>
        <w:t xml:space="preserve">With the objective of attaining high reliability, </w:t>
      </w:r>
      <w:r w:rsidRPr="00CA0C69">
        <w:rPr>
          <w:rFonts w:ascii="Times New Roman" w:hAnsi="Times New Roman" w:cs="Times New Roman"/>
          <w:sz w:val="24"/>
          <w:szCs w:val="24"/>
          <w:shd w:val="clear" w:color="auto" w:fill="FFFFFF"/>
        </w:rPr>
        <w:t xml:space="preserve">Maloney and Beilock (2012) noted that </w:t>
      </w:r>
      <w:r w:rsidRPr="00CA0C69">
        <w:rPr>
          <w:rFonts w:ascii="Times New Roman" w:eastAsia="TimesNewRomanPSMT" w:hAnsi="Times New Roman" w:cs="Times New Roman"/>
          <w:bCs/>
          <w:sz w:val="24"/>
          <w:szCs w:val="24"/>
        </w:rPr>
        <w:t xml:space="preserve">some statements that were problematic underwent adjustments to enhance comprehension. The introduction of the survey was then done to grade 1, 2, 3 and four </w:t>
      </w:r>
      <w:r w:rsidR="00B813B7" w:rsidRPr="00CA0C69">
        <w:rPr>
          <w:rFonts w:ascii="Times New Roman" w:eastAsia="TimesNewRomanPSMT" w:hAnsi="Times New Roman" w:cs="Times New Roman"/>
          <w:bCs/>
          <w:sz w:val="24"/>
          <w:szCs w:val="24"/>
        </w:rPr>
        <w:t xml:space="preserve">respondents. </w:t>
      </w:r>
      <w:r w:rsidRPr="00CA0C69">
        <w:rPr>
          <w:rFonts w:ascii="Times New Roman" w:eastAsia="TimesNewRomanPSMT" w:hAnsi="Times New Roman" w:cs="Times New Roman"/>
          <w:bCs/>
          <w:sz w:val="24"/>
          <w:szCs w:val="24"/>
        </w:rPr>
        <w:t xml:space="preserve">From all the participants, there was a total of 1352 usable data acquired. The examination of data was done with the aim of exploring the survey’s validity and the reliability plus any linkage of the attitudes towards </w:t>
      </w:r>
      <w:r w:rsidR="00B813B7" w:rsidRPr="00CA0C69">
        <w:rPr>
          <w:rFonts w:ascii="Times New Roman" w:eastAsia="TimesNewRomanPSMT" w:hAnsi="Times New Roman" w:cs="Times New Roman"/>
          <w:bCs/>
          <w:sz w:val="24"/>
          <w:szCs w:val="24"/>
        </w:rPr>
        <w:t>sustainability</w:t>
      </w:r>
      <w:r w:rsidRPr="00CA0C69">
        <w:rPr>
          <w:rFonts w:ascii="Times New Roman" w:eastAsia="TimesNewRomanPSMT" w:hAnsi="Times New Roman" w:cs="Times New Roman"/>
          <w:bCs/>
          <w:sz w:val="24"/>
          <w:szCs w:val="24"/>
        </w:rPr>
        <w:t xml:space="preserve"> </w:t>
      </w:r>
      <w:r w:rsidR="00B813B7" w:rsidRPr="00CA0C69">
        <w:rPr>
          <w:rFonts w:ascii="Times New Roman" w:hAnsi="Times New Roman" w:cs="Times New Roman"/>
          <w:sz w:val="24"/>
          <w:szCs w:val="24"/>
        </w:rPr>
        <w:t>of industrial supply companies in a saturated market in Saudi Arabia.</w:t>
      </w:r>
    </w:p>
    <w:p w:rsidR="00EF4C3F" w:rsidRPr="00CA0C69" w:rsidRDefault="00481ABD" w:rsidP="00CA0C69">
      <w:pPr>
        <w:pStyle w:val="Heading2"/>
        <w:spacing w:line="480" w:lineRule="auto"/>
        <w:jc w:val="center"/>
        <w:rPr>
          <w:rFonts w:ascii="Times New Roman" w:hAnsi="Times New Roman" w:cs="Times New Roman"/>
          <w:color w:val="auto"/>
          <w:sz w:val="24"/>
          <w:szCs w:val="24"/>
        </w:rPr>
      </w:pPr>
      <w:bookmarkStart w:id="0" w:name="_Toc505579823"/>
      <w:r w:rsidRPr="00CA0C69">
        <w:rPr>
          <w:rFonts w:ascii="Times New Roman" w:hAnsi="Times New Roman" w:cs="Times New Roman"/>
          <w:color w:val="auto"/>
          <w:sz w:val="24"/>
          <w:szCs w:val="24"/>
        </w:rPr>
        <w:t>1.2 Structure of the methodology</w:t>
      </w:r>
      <w:bookmarkEnd w:id="0"/>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In this research, the methodology it adopted is quantitative types. </w:t>
      </w:r>
      <w:r w:rsidR="00B813B7" w:rsidRPr="00CA0C69">
        <w:rPr>
          <w:rFonts w:ascii="Times New Roman" w:hAnsi="Times New Roman" w:cs="Times New Roman"/>
          <w:sz w:val="24"/>
          <w:szCs w:val="24"/>
        </w:rPr>
        <w:t>The method is</w:t>
      </w:r>
      <w:r w:rsidRPr="00CA0C69">
        <w:rPr>
          <w:rFonts w:ascii="Times New Roman" w:hAnsi="Times New Roman" w:cs="Times New Roman"/>
          <w:sz w:val="24"/>
          <w:szCs w:val="24"/>
        </w:rPr>
        <w:t xml:space="preserve"> always a subjective way of an approach in research since it has the characteristics of identification of new ideas or knowledge especially in fieldwork activities and also for the researcher as the major data </w:t>
      </w:r>
      <w:r w:rsidRPr="00CA0C69">
        <w:rPr>
          <w:rFonts w:ascii="Times New Roman" w:hAnsi="Times New Roman" w:cs="Times New Roman"/>
          <w:sz w:val="24"/>
          <w:szCs w:val="24"/>
        </w:rPr>
        <w:lastRenderedPageBreak/>
        <w:t>source. In the process of research, the person involved in the research work has the objective of acquiring the meaning of the phenomenon’s existence and its nature with regard’s reality</w:t>
      </w:r>
      <w:r w:rsidRPr="00CA0C69">
        <w:rPr>
          <w:rFonts w:ascii="Times New Roman" w:hAnsi="Times New Roman" w:cs="Times New Roman"/>
          <w:color w:val="222222"/>
          <w:sz w:val="24"/>
          <w:szCs w:val="24"/>
          <w:shd w:val="clear" w:color="auto" w:fill="FFFFFF"/>
        </w:rPr>
        <w:t xml:space="preserve"> (Bryman, 2015 p.12)</w:t>
      </w:r>
      <w:r w:rsidRPr="00CA0C69">
        <w:rPr>
          <w:rFonts w:ascii="Times New Roman" w:hAnsi="Times New Roman" w:cs="Times New Roman"/>
          <w:sz w:val="24"/>
          <w:szCs w:val="24"/>
        </w:rPr>
        <w:t>. On top of this, the researcher often has concerns that are limited concerning outcomes. Contrarily, the research tends to have a lot of concerns about the process of research. The quantitative method of research has limitations on the opportunities of the discovery of new ideas. Not forgetting, both aspects such as rapport and trust have a significant role in the process of data collection in the type of research. Consequently, the collected data has reliability elements with it.</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Questionnaires make use of the scales in fulfilling the needed response for the targeted respondents. The respondents’ reflections often come out in a clear manner in situations that involve the use of questionnaires in research studies. Consequently, the respondents give the respective perceptions concerning the research topic. In this scenario, the instance is vital during the time of collecting data since to shows correlation human beings’ aspect of sociology </w:t>
      </w:r>
      <w:r w:rsidRPr="00CA0C69">
        <w:rPr>
          <w:rFonts w:ascii="Times New Roman" w:hAnsi="Times New Roman" w:cs="Times New Roman"/>
          <w:color w:val="222222"/>
          <w:sz w:val="24"/>
          <w:szCs w:val="24"/>
          <w:shd w:val="clear" w:color="auto" w:fill="FFFFFF"/>
        </w:rPr>
        <w:t>(Smith, 2015 p.28)</w:t>
      </w:r>
      <w:r w:rsidRPr="00CA0C69">
        <w:rPr>
          <w:rFonts w:ascii="Times New Roman" w:hAnsi="Times New Roman" w:cs="Times New Roman"/>
          <w:sz w:val="24"/>
          <w:szCs w:val="24"/>
        </w:rPr>
        <w:t xml:space="preserve">. Meanwhile, the applications of interviews during the study leads the creation of a type of ecosystem that promotes trust and faith among the parties concerned with the process of interview. Hence, the collected information needs high levels of reliability and accuracy as well.  </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 combination of research methods assists in the integration of various methods for the purposes of collecting the similar type of data. At the same time, the method discourages biases and the occurrence of research errors in most of the time. The method also leads to the creation of a space for utilization of both primary and secondary methods of collecting data during the research process</w:t>
      </w:r>
      <w:r w:rsidRPr="00CA0C69">
        <w:rPr>
          <w:rFonts w:ascii="Times New Roman" w:hAnsi="Times New Roman" w:cs="Times New Roman"/>
          <w:color w:val="222222"/>
          <w:sz w:val="24"/>
          <w:szCs w:val="24"/>
          <w:shd w:val="clear" w:color="auto" w:fill="FFFFFF"/>
        </w:rPr>
        <w:t xml:space="preserve"> (Taylor, Bogdan, and DeVault, 2015 p.36)</w:t>
      </w:r>
      <w:r w:rsidRPr="00CA0C69">
        <w:rPr>
          <w:rFonts w:ascii="Times New Roman" w:hAnsi="Times New Roman" w:cs="Times New Roman"/>
          <w:sz w:val="24"/>
          <w:szCs w:val="24"/>
        </w:rPr>
        <w:t xml:space="preserve">. Not forgetting, by using various methods in the collection of similar data assists in the collection of a credible data. For this reason, this method assists in the evaluation of the likely cases of ambiguity and collected data. </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lastRenderedPageBreak/>
        <w:t xml:space="preserve">During the process of collecting data, there is always the administering of questionnaires. In this case, the respondents were presented with a questionnaire paper to complete or answer the stipulated questions in it. The respondents were expected to complete the questionnaires within eight hours </w:t>
      </w:r>
      <w:r w:rsidRPr="00CA0C69">
        <w:rPr>
          <w:rFonts w:ascii="Times New Roman" w:hAnsi="Times New Roman" w:cs="Times New Roman"/>
          <w:color w:val="222222"/>
          <w:sz w:val="24"/>
          <w:szCs w:val="24"/>
          <w:shd w:val="clear" w:color="auto" w:fill="FFFFFF"/>
        </w:rPr>
        <w:t>(Bryman, 2015 p.16)</w:t>
      </w:r>
      <w:r w:rsidRPr="00CA0C69">
        <w:rPr>
          <w:rFonts w:ascii="Times New Roman" w:hAnsi="Times New Roman" w:cs="Times New Roman"/>
          <w:sz w:val="24"/>
          <w:szCs w:val="24"/>
        </w:rPr>
        <w:t>. As a result, it provides sufficient time for the parties interviewed in the study to have enough time of completing the questionnaire and return them. On the same note, the allocated time in this scenario leads to the elimination of instances where respondents may be in possession of the q</w:t>
      </w:r>
      <w:r w:rsidR="00CD4BBB" w:rsidRPr="00CA0C69">
        <w:rPr>
          <w:rFonts w:ascii="Times New Roman" w:hAnsi="Times New Roman" w:cs="Times New Roman"/>
          <w:sz w:val="24"/>
          <w:szCs w:val="24"/>
        </w:rPr>
        <w:t xml:space="preserve">uestionnaires and discussions. </w:t>
      </w:r>
      <w:r w:rsidRPr="00CA0C69">
        <w:rPr>
          <w:rFonts w:ascii="Times New Roman" w:hAnsi="Times New Roman" w:cs="Times New Roman"/>
          <w:sz w:val="24"/>
          <w:szCs w:val="24"/>
        </w:rPr>
        <w:t>While collecting data, interviews were also done. The system of interviews had structured questions that ensured effectiveness in the collection of the required data for the research work. Likewise, the type of interview that was used was individual interview for the research of that was being conducted. The time for interviews was only forty-five minutes for every session. The reason behind this was to make sure that there was an effective use of time allocated for the research activity.</w:t>
      </w: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1" w:name="_Toc505867622"/>
      <w:r w:rsidRPr="00CA0C69">
        <w:rPr>
          <w:rFonts w:ascii="Times New Roman" w:eastAsia="TimesNewRomanPSMT" w:hAnsi="Times New Roman" w:cs="Times New Roman"/>
          <w:color w:val="auto"/>
          <w:sz w:val="24"/>
          <w:szCs w:val="24"/>
        </w:rPr>
        <w:t>1.3 Participants</w:t>
      </w:r>
      <w:bookmarkEnd w:id="1"/>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The study’s participants consisted of </w:t>
      </w:r>
      <w:r w:rsidR="00FC148E" w:rsidRPr="00CA0C69">
        <w:rPr>
          <w:rFonts w:ascii="Times New Roman" w:eastAsia="TimesNewRomanPSMT" w:hAnsi="Times New Roman" w:cs="Times New Roman"/>
          <w:iCs/>
          <w:sz w:val="24"/>
          <w:szCs w:val="24"/>
        </w:rPr>
        <w:t>408</w:t>
      </w:r>
      <w:r w:rsidRPr="00CA0C69">
        <w:rPr>
          <w:rFonts w:ascii="Times New Roman" w:eastAsia="TimesNewRomanPSMT" w:hAnsi="Times New Roman" w:cs="Times New Roman"/>
          <w:iCs/>
          <w:sz w:val="24"/>
          <w:szCs w:val="24"/>
        </w:rPr>
        <w:t xml:space="preserve"> </w:t>
      </w:r>
      <w:r w:rsidR="00FC148E" w:rsidRPr="00CA0C69">
        <w:rPr>
          <w:rFonts w:ascii="Times New Roman" w:eastAsia="TimesNewRomanPSMT" w:hAnsi="Times New Roman" w:cs="Times New Roman"/>
          <w:iCs/>
          <w:sz w:val="24"/>
          <w:szCs w:val="24"/>
        </w:rPr>
        <w:t>first grades (</w:t>
      </w:r>
      <w:r w:rsidRPr="00CA0C69">
        <w:rPr>
          <w:rFonts w:ascii="Times New Roman" w:eastAsia="TimesNewRomanPSMT" w:hAnsi="Times New Roman" w:cs="Times New Roman"/>
          <w:iCs/>
          <w:sz w:val="24"/>
          <w:szCs w:val="24"/>
        </w:rPr>
        <w:t xml:space="preserve">30.2%), </w:t>
      </w:r>
      <w:r w:rsidR="00FC148E" w:rsidRPr="00CA0C69">
        <w:rPr>
          <w:rFonts w:ascii="Times New Roman" w:eastAsia="TimesNewRomanPSMT" w:hAnsi="Times New Roman" w:cs="Times New Roman"/>
          <w:iCs/>
          <w:sz w:val="24"/>
          <w:szCs w:val="24"/>
        </w:rPr>
        <w:t>392</w:t>
      </w:r>
      <w:r w:rsidRPr="00CA0C69">
        <w:rPr>
          <w:rFonts w:ascii="Times New Roman" w:eastAsia="TimesNewRomanPSMT" w:hAnsi="Times New Roman" w:cs="Times New Roman"/>
          <w:iCs/>
          <w:sz w:val="24"/>
          <w:szCs w:val="24"/>
        </w:rPr>
        <w:t xml:space="preserve"> 3</w:t>
      </w:r>
      <w:r w:rsidRPr="00CA0C69">
        <w:rPr>
          <w:rFonts w:ascii="Times New Roman" w:eastAsia="TimesNewRomanPSMT" w:hAnsi="Times New Roman" w:cs="Times New Roman"/>
          <w:iCs/>
          <w:sz w:val="24"/>
          <w:szCs w:val="24"/>
          <w:vertAlign w:val="superscript"/>
        </w:rPr>
        <w:t>rd</w:t>
      </w:r>
      <w:r w:rsidRPr="00CA0C69">
        <w:rPr>
          <w:rFonts w:ascii="Times New Roman" w:eastAsia="TimesNewRomanPSMT" w:hAnsi="Times New Roman" w:cs="Times New Roman"/>
          <w:iCs/>
          <w:sz w:val="24"/>
          <w:szCs w:val="24"/>
        </w:rPr>
        <w:t xml:space="preserve"> grades (29%, </w:t>
      </w:r>
      <w:r w:rsidR="00FC148E" w:rsidRPr="00CA0C69">
        <w:rPr>
          <w:rFonts w:ascii="Times New Roman" w:eastAsia="TimesNewRomanPSMT" w:hAnsi="Times New Roman" w:cs="Times New Roman"/>
          <w:iCs/>
          <w:sz w:val="24"/>
          <w:szCs w:val="24"/>
        </w:rPr>
        <w:t>301</w:t>
      </w:r>
      <w:r w:rsidRPr="00CA0C69">
        <w:rPr>
          <w:rFonts w:ascii="Times New Roman" w:eastAsia="TimesNewRomanPSMT" w:hAnsi="Times New Roman" w:cs="Times New Roman"/>
          <w:iCs/>
          <w:sz w:val="24"/>
          <w:szCs w:val="24"/>
        </w:rPr>
        <w:t xml:space="preserve"> 2</w:t>
      </w:r>
      <w:r w:rsidRPr="00CA0C69">
        <w:rPr>
          <w:rFonts w:ascii="Times New Roman" w:eastAsia="TimesNewRomanPSMT" w:hAnsi="Times New Roman" w:cs="Times New Roman"/>
          <w:iCs/>
          <w:sz w:val="24"/>
          <w:szCs w:val="24"/>
          <w:vertAlign w:val="superscript"/>
        </w:rPr>
        <w:t>nd</w:t>
      </w:r>
      <w:r w:rsidRPr="00CA0C69">
        <w:rPr>
          <w:rFonts w:ascii="Times New Roman" w:eastAsia="TimesNewRomanPSMT" w:hAnsi="Times New Roman" w:cs="Times New Roman"/>
          <w:iCs/>
          <w:sz w:val="24"/>
          <w:szCs w:val="24"/>
        </w:rPr>
        <w:t xml:space="preserve"> grades (22.3%) and </w:t>
      </w:r>
      <w:r w:rsidR="00FC148E" w:rsidRPr="00CA0C69">
        <w:rPr>
          <w:rFonts w:ascii="Times New Roman" w:eastAsia="TimesNewRomanPSMT" w:hAnsi="Times New Roman" w:cs="Times New Roman"/>
          <w:iCs/>
          <w:sz w:val="24"/>
          <w:szCs w:val="24"/>
        </w:rPr>
        <w:t>250</w:t>
      </w:r>
      <w:r w:rsidRPr="00CA0C69">
        <w:rPr>
          <w:rFonts w:ascii="Times New Roman" w:eastAsia="TimesNewRomanPSMT" w:hAnsi="Times New Roman" w:cs="Times New Roman"/>
          <w:iCs/>
          <w:sz w:val="24"/>
          <w:szCs w:val="24"/>
        </w:rPr>
        <w:t xml:space="preserve"> 1</w:t>
      </w:r>
      <w:r w:rsidRPr="00CA0C69">
        <w:rPr>
          <w:rFonts w:ascii="Times New Roman" w:eastAsia="TimesNewRomanPSMT" w:hAnsi="Times New Roman" w:cs="Times New Roman"/>
          <w:iCs/>
          <w:sz w:val="24"/>
          <w:szCs w:val="24"/>
          <w:vertAlign w:val="superscript"/>
        </w:rPr>
        <w:t>st</w:t>
      </w:r>
      <w:r w:rsidR="00FC148E" w:rsidRPr="00CA0C69">
        <w:rPr>
          <w:rFonts w:ascii="Times New Roman" w:eastAsia="TimesNewRomanPSMT" w:hAnsi="Times New Roman" w:cs="Times New Roman"/>
          <w:iCs/>
          <w:sz w:val="24"/>
          <w:szCs w:val="24"/>
        </w:rPr>
        <w:t xml:space="preserve"> grade</w:t>
      </w:r>
      <w:r w:rsidRPr="00CA0C69">
        <w:rPr>
          <w:rFonts w:ascii="Times New Roman" w:eastAsia="TimesNewRomanPSMT" w:hAnsi="Times New Roman" w:cs="Times New Roman"/>
          <w:iCs/>
          <w:sz w:val="24"/>
          <w:szCs w:val="24"/>
        </w:rPr>
        <w:t>s (18.5%). Regarding gender, 48.8% equivalents to 605 were females while 55.2% that represent 747 males were engaged in the survey.</w:t>
      </w:r>
    </w:p>
    <w:p w:rsidR="00EF4C3F" w:rsidRPr="00CA0C69" w:rsidRDefault="00EF4C3F" w:rsidP="00CA0C69">
      <w:pPr>
        <w:autoSpaceDE w:val="0"/>
        <w:autoSpaceDN w:val="0"/>
        <w:adjustRightInd w:val="0"/>
        <w:spacing w:after="0" w:line="480" w:lineRule="auto"/>
        <w:rPr>
          <w:rFonts w:ascii="Times New Roman" w:eastAsia="TimesNewRomanPSMT" w:hAnsi="Times New Roman" w:cs="Times New Roman"/>
          <w:sz w:val="24"/>
          <w:szCs w:val="24"/>
        </w:rPr>
      </w:pP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t>1.4 Measures</w:t>
      </w:r>
    </w:p>
    <w:p w:rsidR="00C87342" w:rsidRPr="00CA0C69" w:rsidRDefault="00481ABD" w:rsidP="00CA0C69">
      <w:pPr>
        <w:spacing w:line="480" w:lineRule="auto"/>
        <w:ind w:firstLine="720"/>
        <w:jc w:val="both"/>
        <w:rPr>
          <w:rFonts w:ascii="Times New Roman" w:hAnsi="Times New Roman" w:cs="Times New Roman"/>
          <w:b/>
          <w:sz w:val="24"/>
          <w:szCs w:val="24"/>
        </w:rPr>
      </w:pPr>
      <w:r w:rsidRPr="00CA0C69">
        <w:rPr>
          <w:rFonts w:ascii="Times New Roman" w:eastAsia="TimesNewRomanPSMT" w:hAnsi="Times New Roman" w:cs="Times New Roman"/>
          <w:iCs/>
          <w:sz w:val="24"/>
          <w:szCs w:val="24"/>
        </w:rPr>
        <w:t xml:space="preserve">The R-MANX was utilized in acquiring data from the total 1351 </w:t>
      </w:r>
      <w:r w:rsidR="00360B84" w:rsidRPr="00CA0C69">
        <w:rPr>
          <w:rFonts w:ascii="Times New Roman" w:eastAsia="TimesNewRomanPSMT" w:hAnsi="Times New Roman" w:cs="Times New Roman"/>
          <w:iCs/>
          <w:sz w:val="24"/>
          <w:szCs w:val="24"/>
        </w:rPr>
        <w:t>participants from saturated markets in Saudi Arabia</w:t>
      </w:r>
      <w:r w:rsidRPr="00CA0C69">
        <w:rPr>
          <w:rFonts w:ascii="Times New Roman" w:eastAsia="TimesNewRomanPSMT" w:hAnsi="Times New Roman" w:cs="Times New Roman"/>
          <w:iCs/>
          <w:sz w:val="24"/>
          <w:szCs w:val="24"/>
        </w:rPr>
        <w:t xml:space="preserve">. Respondents were challenged to give responses to the R-MANX type of questionnaire to determine the level of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iCs/>
          <w:sz w:val="24"/>
          <w:szCs w:val="24"/>
        </w:rPr>
        <w:t xml:space="preserve">After this, the respondents were prompted to make choices on one out of the possible five scenarios that were; ‘never,' ‘sometimes,' ‘always,' </w:t>
      </w:r>
      <w:r w:rsidRPr="00CA0C69">
        <w:rPr>
          <w:rFonts w:ascii="Times New Roman" w:eastAsia="TimesNewRomanPSMT" w:hAnsi="Times New Roman" w:cs="Times New Roman"/>
          <w:iCs/>
          <w:sz w:val="24"/>
          <w:szCs w:val="24"/>
        </w:rPr>
        <w:lastRenderedPageBreak/>
        <w:t>‘rarely,' and ‘frequently' for every thirty items that constituted the anxiety scale of the R-MANX</w:t>
      </w:r>
      <w:r w:rsidRPr="00CA0C69">
        <w:rPr>
          <w:rFonts w:ascii="Times New Roman" w:hAnsi="Times New Roman" w:cs="Times New Roman"/>
          <w:color w:val="222222"/>
          <w:sz w:val="24"/>
          <w:szCs w:val="24"/>
          <w:shd w:val="clear" w:color="auto" w:fill="FFFFFF"/>
        </w:rPr>
        <w:t xml:space="preserve"> (Smith, 2015)</w:t>
      </w:r>
      <w:r w:rsidRPr="00CA0C69">
        <w:rPr>
          <w:rFonts w:ascii="Times New Roman" w:eastAsia="TimesNewRomanPSMT" w:hAnsi="Times New Roman" w:cs="Times New Roman"/>
          <w:iCs/>
          <w:sz w:val="24"/>
          <w:szCs w:val="24"/>
        </w:rPr>
        <w:t xml:space="preserve">.  The responses were allocated of a score of one to five during the time of doing the calculation for the scores registered by each respondent surveyed. Low marks depicted of low instances of </w:t>
      </w:r>
      <w:r w:rsidRPr="00CA0C69">
        <w:rPr>
          <w:rFonts w:ascii="Times New Roman" w:hAnsi="Times New Roman" w:cs="Times New Roman"/>
          <w:sz w:val="24"/>
          <w:szCs w:val="24"/>
        </w:rPr>
        <w:t xml:space="preserve">sustainability of industrial supply companies in a saturated market </w:t>
      </w:r>
      <w:r w:rsidRPr="00CA0C69">
        <w:rPr>
          <w:rFonts w:ascii="Times New Roman" w:eastAsia="TimesNewRomanPSMT" w:hAnsi="Times New Roman" w:cs="Times New Roman"/>
          <w:iCs/>
          <w:sz w:val="24"/>
          <w:szCs w:val="24"/>
        </w:rPr>
        <w:t xml:space="preserve">while the higher marks were an indication of high incidences of </w:t>
      </w:r>
      <w:r w:rsidRPr="00CA0C69">
        <w:rPr>
          <w:rFonts w:ascii="Times New Roman" w:hAnsi="Times New Roman" w:cs="Times New Roman"/>
          <w:sz w:val="24"/>
          <w:szCs w:val="24"/>
        </w:rPr>
        <w:t>sustainability of industrial supply companies in the saturated market</w:t>
      </w:r>
      <w:r w:rsidRPr="00CA0C69">
        <w:rPr>
          <w:rFonts w:ascii="Times New Roman" w:eastAsia="TimesNewRomanPSMT" w:hAnsi="Times New Roman" w:cs="Times New Roman"/>
          <w:iCs/>
          <w:sz w:val="24"/>
          <w:szCs w:val="24"/>
        </w:rPr>
        <w:t xml:space="preserve">. For the sake of this study, the sustainability totals were categorized as ‘low sustainability levels,' ‘medium sustainability levels' and ‘high sustainability levels </w:t>
      </w:r>
      <w:r w:rsidRPr="00CA0C69">
        <w:rPr>
          <w:rFonts w:ascii="Times New Roman" w:hAnsi="Times New Roman" w:cs="Times New Roman"/>
          <w:color w:val="222222"/>
          <w:sz w:val="24"/>
          <w:szCs w:val="24"/>
          <w:shd w:val="clear" w:color="auto" w:fill="FFFFFF"/>
        </w:rPr>
        <w:t>(Taylor, Bogdan, and DeVault, 2015)</w:t>
      </w:r>
      <w:r w:rsidRPr="00CA0C69">
        <w:rPr>
          <w:rFonts w:ascii="Times New Roman" w:eastAsia="TimesNewRomanPSMT" w:hAnsi="Times New Roman" w:cs="Times New Roman"/>
          <w:iCs/>
          <w:sz w:val="24"/>
          <w:szCs w:val="24"/>
        </w:rPr>
        <w:t xml:space="preserve">. The classifications were done based on the sustainability's percentiles scores of sustainability. The respondents who registered 33% percentiles </w:t>
      </w:r>
      <w:r w:rsidR="004A71D6" w:rsidRPr="00CA0C69">
        <w:rPr>
          <w:rFonts w:ascii="Times New Roman" w:eastAsia="TimesNewRomanPSMT" w:hAnsi="Times New Roman" w:cs="Times New Roman"/>
          <w:iCs/>
          <w:sz w:val="24"/>
          <w:szCs w:val="24"/>
        </w:rPr>
        <w:t>depicted</w:t>
      </w:r>
      <w:r w:rsidRPr="00CA0C69">
        <w:rPr>
          <w:rFonts w:ascii="Times New Roman" w:eastAsia="TimesNewRomanPSMT" w:hAnsi="Times New Roman" w:cs="Times New Roman"/>
          <w:iCs/>
          <w:sz w:val="24"/>
          <w:szCs w:val="24"/>
        </w:rPr>
        <w:t xml:space="preserve"> the low categories of sustainability</w:t>
      </w:r>
      <w:r w:rsidR="004A71D6" w:rsidRPr="00CA0C69">
        <w:rPr>
          <w:rFonts w:ascii="Times New Roman" w:eastAsia="TimesNewRomanPSMT" w:hAnsi="Times New Roman" w:cs="Times New Roman"/>
          <w:iCs/>
          <w:sz w:val="24"/>
          <w:szCs w:val="24"/>
        </w:rPr>
        <w:t xml:space="preserve"> of industrial supply in the saturated in Saudi Arabia</w:t>
      </w:r>
      <w:r w:rsidRPr="00CA0C69">
        <w:rPr>
          <w:rFonts w:ascii="Times New Roman" w:eastAsia="TimesNewRomanPSMT" w:hAnsi="Times New Roman" w:cs="Times New Roman"/>
          <w:iCs/>
          <w:sz w:val="24"/>
          <w:szCs w:val="24"/>
        </w:rPr>
        <w:t>. For those who registered scores 33% and 67%, they were categorized as the medium lots while those that had scores of the upper 33% were classified as the high sustainability</w:t>
      </w:r>
      <w:r w:rsidRPr="00CA0C69">
        <w:rPr>
          <w:rFonts w:ascii="Times New Roman" w:hAnsi="Times New Roman" w:cs="Times New Roman"/>
          <w:b/>
          <w:sz w:val="24"/>
          <w:szCs w:val="24"/>
        </w:rPr>
        <w:t xml:space="preserve"> </w:t>
      </w:r>
    </w:p>
    <w:p w:rsidR="00EF4C3F" w:rsidRPr="00CA0C69" w:rsidRDefault="00481ABD" w:rsidP="00CA0C69">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1.5 Data Collection</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During the process of collecting data, there was the formulation of questions. The questionnaires had questions that were directly seeking responses from the participant. Majority of the questions were factual, questions seeking on the intended information, those seeking on the on one’s perception, opinion and those considered as projective kind of questions </w:t>
      </w:r>
      <w:r w:rsidRPr="00CA0C69">
        <w:rPr>
          <w:rFonts w:ascii="Times New Roman" w:hAnsi="Times New Roman" w:cs="Times New Roman"/>
          <w:color w:val="222222"/>
          <w:sz w:val="24"/>
          <w:szCs w:val="24"/>
          <w:shd w:val="clear" w:color="auto" w:fill="FFFFFF"/>
        </w:rPr>
        <w:t>(Taylor</w:t>
      </w:r>
      <w:r w:rsidR="00E07D80" w:rsidRPr="00CA0C69">
        <w:rPr>
          <w:rFonts w:ascii="Times New Roman" w:hAnsi="Times New Roman" w:cs="Times New Roman"/>
          <w:color w:val="222222"/>
          <w:sz w:val="24"/>
          <w:szCs w:val="24"/>
          <w:shd w:val="clear" w:color="auto" w:fill="FFFFFF"/>
        </w:rPr>
        <w:t>, Bogdan, and DeVault, 2015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rPr>
        <w:t xml:space="preserve">. The questions were then scaled and also disseminated. In this case, it assisted in acquiring the intended response from the participant. Also, the contexts of the question were uniform to acquire good results that assist in an effective way of analyzing the trends of responses from the sample population. Added to this, the questionnaire consisted of cross-checking form of questions to assist in data analysis </w:t>
      </w:r>
      <w:r w:rsidRPr="00CA0C69">
        <w:rPr>
          <w:rFonts w:ascii="Times New Roman" w:hAnsi="Times New Roman" w:cs="Times New Roman"/>
          <w:color w:val="222222"/>
          <w:sz w:val="24"/>
          <w:szCs w:val="24"/>
          <w:shd w:val="clear" w:color="auto" w:fill="FFFFFF"/>
        </w:rPr>
        <w:t>(Taylor</w:t>
      </w:r>
      <w:r w:rsidR="00E07D80" w:rsidRPr="00CA0C69">
        <w:rPr>
          <w:rFonts w:ascii="Times New Roman" w:hAnsi="Times New Roman" w:cs="Times New Roman"/>
          <w:color w:val="222222"/>
          <w:sz w:val="24"/>
          <w:szCs w:val="24"/>
          <w:shd w:val="clear" w:color="auto" w:fill="FFFFFF"/>
        </w:rPr>
        <w:t>, Bogdan, and DeVault, 2015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rPr>
        <w:t xml:space="preserve">. </w:t>
      </w:r>
      <w:r w:rsidRPr="00CA0C69">
        <w:rPr>
          <w:rFonts w:ascii="Times New Roman" w:hAnsi="Times New Roman" w:cs="Times New Roman"/>
          <w:sz w:val="24"/>
          <w:szCs w:val="24"/>
        </w:rPr>
        <w:lastRenderedPageBreak/>
        <w:t xml:space="preserve">Meanwhile, the selected sample population for responding to the questionnaires had to be examined in prior for the purposes of identifying the likely barriers or limitations of the questionnaire’s effectiveness. </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procedure for collecting data started with establishing of the pre-test for the questionnaire. The instance was due to the fact it assisted in identifying the degree of complexity of the questionnaires that were to be used in the research study </w:t>
      </w:r>
      <w:r w:rsidR="00E07D80" w:rsidRPr="00CA0C69">
        <w:rPr>
          <w:rFonts w:ascii="Times New Roman" w:hAnsi="Times New Roman" w:cs="Times New Roman"/>
          <w:color w:val="222222"/>
          <w:sz w:val="24"/>
          <w:szCs w:val="24"/>
          <w:shd w:val="clear" w:color="auto" w:fill="FFFFFF"/>
        </w:rPr>
        <w:t>(Bryman, 2015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rPr>
        <w:t>. At the same time, the pre-tests assisted in the computation of measures of overcoming the limitations of the research. Often, this takes place since in pre-test process, enable for the effective identification of the challenges in the research activity.</w:t>
      </w:r>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secondary data got in the research work came from the published contents. The source of this data was from a database of companies, articles associated with the research, journals, internet information and also other academic articles </w:t>
      </w:r>
      <w:r w:rsidRPr="00CA0C69">
        <w:rPr>
          <w:rFonts w:ascii="Times New Roman" w:hAnsi="Times New Roman" w:cs="Times New Roman"/>
          <w:color w:val="222222"/>
          <w:sz w:val="24"/>
          <w:szCs w:val="24"/>
          <w:shd w:val="clear" w:color="auto" w:fill="FFFFFF"/>
        </w:rPr>
        <w:t>(Bryman, 2015 p.25)</w:t>
      </w:r>
      <w:r w:rsidRPr="00CA0C69">
        <w:rPr>
          <w:rFonts w:ascii="Times New Roman" w:hAnsi="Times New Roman" w:cs="Times New Roman"/>
          <w:sz w:val="24"/>
          <w:szCs w:val="24"/>
          <w:shd w:val="clear" w:color="auto" w:fill="FFFFFF"/>
        </w:rPr>
        <w:t>.</w:t>
      </w:r>
      <w:r w:rsidRPr="00CA0C69">
        <w:rPr>
          <w:rFonts w:ascii="Times New Roman" w:hAnsi="Times New Roman" w:cs="Times New Roman"/>
          <w:sz w:val="24"/>
          <w:szCs w:val="24"/>
        </w:rPr>
        <w:t xml:space="preserve"> As a result, the researcher had to conduct a wide study for the purposes of developing the needed inference and also in the collecting of related data for the research.  </w:t>
      </w:r>
    </w:p>
    <w:p w:rsidR="00EF4C3F" w:rsidRPr="00CA0C69" w:rsidRDefault="00EF4C3F" w:rsidP="00CA0C69">
      <w:pPr>
        <w:autoSpaceDE w:val="0"/>
        <w:autoSpaceDN w:val="0"/>
        <w:adjustRightInd w:val="0"/>
        <w:spacing w:after="0" w:line="480" w:lineRule="auto"/>
        <w:rPr>
          <w:rFonts w:ascii="Times New Roman" w:eastAsia="TimesNewRomanPSMT" w:hAnsi="Times New Roman" w:cs="Times New Roman"/>
          <w:sz w:val="24"/>
          <w:szCs w:val="24"/>
        </w:rPr>
      </w:pP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2" w:name="_Toc505867624"/>
      <w:r w:rsidRPr="00CA0C69">
        <w:rPr>
          <w:rFonts w:ascii="Times New Roman" w:eastAsia="TimesNewRomanPSMT" w:hAnsi="Times New Roman" w:cs="Times New Roman"/>
          <w:color w:val="auto"/>
          <w:sz w:val="24"/>
          <w:szCs w:val="24"/>
        </w:rPr>
        <w:t>1.6 Data Analysis</w:t>
      </w:r>
      <w:bookmarkEnd w:id="2"/>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global relationship of the set variables constituting the R-MANX was evaluated through use of the exploratory type of factor assessment (EFA). A confirmatory factor evaluation (CFE) was utilized for the purposes of confirming the certain hypothesis associated with the format defined by the set variables constituting the R-MANX. The performance of the EFA was aided by the SPSS version 22</w:t>
      </w:r>
      <w:r w:rsidRPr="00CA0C69">
        <w:rPr>
          <w:rFonts w:ascii="Times New Roman" w:hAnsi="Times New Roman" w:cs="Times New Roman"/>
          <w:sz w:val="24"/>
          <w:szCs w:val="24"/>
          <w:shd w:val="clear" w:color="auto" w:fill="FFFFFF"/>
        </w:rPr>
        <w:t xml:space="preserve"> (Ramirez, Gunderson, Levine and Beilock, 2013)</w:t>
      </w:r>
      <w:r w:rsidRPr="00CA0C69">
        <w:rPr>
          <w:rFonts w:ascii="Times New Roman" w:eastAsia="TimesNewRomanPSMT" w:hAnsi="Times New Roman" w:cs="Times New Roman"/>
          <w:iCs/>
          <w:sz w:val="24"/>
          <w:szCs w:val="24"/>
        </w:rPr>
        <w:t xml:space="preserve">. Principle </w:t>
      </w:r>
      <w:r w:rsidRPr="00CA0C69">
        <w:rPr>
          <w:rFonts w:ascii="Times New Roman" w:eastAsia="TimesNewRomanPSMT" w:hAnsi="Times New Roman" w:cs="Times New Roman"/>
          <w:iCs/>
          <w:sz w:val="24"/>
          <w:szCs w:val="24"/>
        </w:rPr>
        <w:lastRenderedPageBreak/>
        <w:t xml:space="preserve">component assessment (PCA) was applied to extract the factors used the unique change of factors through the use of the Oblimin type of rotation. </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 CFA through use of the possible estimation was carried out on the sample by making use of the AMOS Version 22 to evaluate the model fit. A good model fit is possible to show through the use of a nonsignificant type of chi-square. However, there are other factors that may affect the figure. Hence, many fit indices were utilized in measuring the model fit</w:t>
      </w:r>
      <w:r w:rsidRPr="00CA0C69">
        <w:rPr>
          <w:rFonts w:ascii="Times New Roman" w:hAnsi="Times New Roman" w:cs="Times New Roman"/>
          <w:sz w:val="24"/>
          <w:szCs w:val="24"/>
          <w:shd w:val="clear" w:color="auto" w:fill="FFFFFF"/>
        </w:rPr>
        <w:t xml:space="preserve"> (Ramirez, Gunderson, Levine and Beilock, 2013)</w:t>
      </w:r>
      <w:r w:rsidRPr="00CA0C69">
        <w:rPr>
          <w:rFonts w:ascii="Times New Roman" w:eastAsia="TimesNewRomanPSMT" w:hAnsi="Times New Roman" w:cs="Times New Roman"/>
          <w:iCs/>
          <w:sz w:val="24"/>
          <w:szCs w:val="24"/>
        </w:rPr>
        <w:t xml:space="preserve">. The values of CFI that range between 0.9 and 0.95 depict of the reasonable type of fit while those values falling between 0.95 and 1.0 depict of a good type of fit. </w:t>
      </w:r>
      <w:r w:rsidRPr="00CA0C69">
        <w:rPr>
          <w:rFonts w:ascii="Times New Roman" w:eastAsia="TimesNewRomanPSMT" w:hAnsi="Times New Roman" w:cs="Times New Roman"/>
          <w:i/>
          <w:iCs/>
          <w:sz w:val="24"/>
          <w:szCs w:val="24"/>
        </w:rPr>
        <w:t xml:space="preserve">Standardized root means square residual (SRMR) </w:t>
      </w:r>
      <w:r w:rsidRPr="00CA0C69">
        <w:rPr>
          <w:rFonts w:ascii="Times New Roman" w:eastAsia="TimesNewRomanPSMT" w:hAnsi="Times New Roman" w:cs="Times New Roman"/>
          <w:iCs/>
          <w:sz w:val="24"/>
          <w:szCs w:val="24"/>
        </w:rPr>
        <w:t xml:space="preserve">represents another absolute </w:t>
      </w:r>
      <w:r w:rsidR="005D569B" w:rsidRPr="00CA0C69">
        <w:rPr>
          <w:rFonts w:ascii="Times New Roman" w:eastAsia="TimesNewRomanPSMT" w:hAnsi="Times New Roman" w:cs="Times New Roman"/>
          <w:iCs/>
          <w:sz w:val="24"/>
          <w:szCs w:val="24"/>
        </w:rPr>
        <w:t xml:space="preserve">fit index type mostly used. </w:t>
      </w:r>
    </w:p>
    <w:p w:rsidR="001F568B" w:rsidRPr="00CA0C69" w:rsidRDefault="00481ABD" w:rsidP="00CA0C69">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iCs/>
          <w:sz w:val="24"/>
          <w:szCs w:val="24"/>
        </w:rPr>
        <w:t>For the sake of the SRMR, the values below 0.05 would be an indication of the well-fi</w:t>
      </w:r>
      <w:r w:rsidR="00A814AB" w:rsidRPr="00CA0C69">
        <w:rPr>
          <w:rFonts w:ascii="Times New Roman" w:eastAsia="TimesNewRomanPSMT" w:hAnsi="Times New Roman" w:cs="Times New Roman"/>
          <w:iCs/>
          <w:sz w:val="24"/>
          <w:szCs w:val="24"/>
        </w:rPr>
        <w:t xml:space="preserve">tting type of model. Meanwhile, </w:t>
      </w:r>
      <w:r w:rsidRPr="00CA0C69">
        <w:rPr>
          <w:rFonts w:ascii="Times New Roman" w:eastAsia="TimesNewRomanPSMT" w:hAnsi="Times New Roman" w:cs="Times New Roman"/>
          <w:i/>
          <w:iCs/>
          <w:sz w:val="24"/>
          <w:szCs w:val="24"/>
        </w:rPr>
        <w:t>Root Mean</w:t>
      </w:r>
      <w:r w:rsidR="00B32895" w:rsidRPr="00CA0C69">
        <w:rPr>
          <w:rFonts w:ascii="Times New Roman" w:eastAsia="TimesNewRomanPSMT" w:hAnsi="Times New Roman" w:cs="Times New Roman"/>
          <w:i/>
          <w:iCs/>
          <w:sz w:val="24"/>
          <w:szCs w:val="24"/>
        </w:rPr>
        <w:t xml:space="preserve"> Square Error of Approximation (</w:t>
      </w:r>
      <w:r w:rsidRPr="00CA0C69">
        <w:rPr>
          <w:rFonts w:ascii="Times New Roman" w:eastAsia="TimesNewRomanPSMT" w:hAnsi="Times New Roman" w:cs="Times New Roman"/>
          <w:i/>
          <w:iCs/>
          <w:sz w:val="24"/>
          <w:szCs w:val="24"/>
        </w:rPr>
        <w:t>RMSEA</w:t>
      </w:r>
      <w:r w:rsidR="00B32895" w:rsidRPr="00CA0C69">
        <w:rPr>
          <w:rFonts w:ascii="Times New Roman" w:eastAsia="TimesNewRomanPSMT" w:hAnsi="Times New Roman" w:cs="Times New Roman"/>
          <w:i/>
          <w:iCs/>
          <w:sz w:val="24"/>
          <w:szCs w:val="24"/>
        </w:rPr>
        <w:t>)</w:t>
      </w:r>
      <w:r w:rsidRPr="00CA0C69">
        <w:rPr>
          <w:rFonts w:ascii="Times New Roman" w:eastAsia="TimesNewRomanPSMT" w:hAnsi="Times New Roman" w:cs="Times New Roman"/>
          <w:iCs/>
          <w:sz w:val="24"/>
          <w:szCs w:val="24"/>
        </w:rPr>
        <w:t xml:space="preserve"> refers to the most informative that assists in the determination of the model fit since it factors in the number of variables that are approximated for every model. The values of RMSEA falling 0.08 to 0.08 are reasonable fit while those that are either less or equivalent to 0.05 depict good fit. Meanwhile, the </w:t>
      </w:r>
      <w:r w:rsidR="004727A4" w:rsidRPr="00CA0C69">
        <w:rPr>
          <w:rFonts w:ascii="Times New Roman" w:eastAsia="TimesNewRomanPSMT" w:hAnsi="Times New Roman" w:cs="Times New Roman"/>
          <w:iCs/>
          <w:sz w:val="24"/>
          <w:szCs w:val="24"/>
        </w:rPr>
        <w:t xml:space="preserve">one type of </w:t>
      </w:r>
      <w:r w:rsidR="004727A4" w:rsidRPr="00CA0C69">
        <w:rPr>
          <w:rFonts w:ascii="Times New Roman" w:eastAsia="TimesNewRomanPSMT" w:hAnsi="Times New Roman" w:cs="Times New Roman"/>
          <w:i/>
          <w:iCs/>
          <w:sz w:val="24"/>
          <w:szCs w:val="24"/>
        </w:rPr>
        <w:t xml:space="preserve">ANOVA tests and Tukey </w:t>
      </w:r>
      <w:r w:rsidR="003B5128" w:rsidRPr="00CA0C69">
        <w:rPr>
          <w:rFonts w:ascii="Times New Roman" w:eastAsia="TimesNewRomanPSMT" w:hAnsi="Times New Roman" w:cs="Times New Roman"/>
          <w:i/>
          <w:iCs/>
          <w:sz w:val="24"/>
          <w:szCs w:val="24"/>
        </w:rPr>
        <w:t xml:space="preserve">Honestly Significant Difference (HSD) </w:t>
      </w:r>
      <w:r w:rsidRPr="00CA0C69">
        <w:rPr>
          <w:rFonts w:ascii="Times New Roman" w:eastAsia="TimesNewRomanPSMT" w:hAnsi="Times New Roman" w:cs="Times New Roman"/>
          <w:iCs/>
          <w:sz w:val="24"/>
          <w:szCs w:val="24"/>
        </w:rPr>
        <w:t xml:space="preserve">was used in making explorations of the effect of the grade and achievements levels concerning the anxiety levels as well as the calculation of the each comparison's size. Similarly, two way ANOVA was utilized in making comparisons of the </w:t>
      </w:r>
      <w:r w:rsidR="00894765" w:rsidRPr="00CA0C69">
        <w:rPr>
          <w:rFonts w:ascii="Times New Roman" w:eastAsia="TimesNewRomanPSMT" w:hAnsi="Times New Roman" w:cs="Times New Roman"/>
          <w:iCs/>
          <w:sz w:val="24"/>
          <w:szCs w:val="24"/>
        </w:rPr>
        <w:t>sustainability</w:t>
      </w:r>
      <w:r w:rsidRPr="00CA0C69">
        <w:rPr>
          <w:rFonts w:ascii="Times New Roman" w:eastAsia="TimesNewRomanPSMT" w:hAnsi="Times New Roman" w:cs="Times New Roman"/>
          <w:iCs/>
          <w:sz w:val="24"/>
          <w:szCs w:val="24"/>
        </w:rPr>
        <w:t xml:space="preserve"> scores of the effect of levels of grade and the </w:t>
      </w:r>
      <w:r w:rsidR="003B5128" w:rsidRPr="00CA0C69">
        <w:rPr>
          <w:rFonts w:ascii="Times New Roman" w:eastAsia="TimesNewRomanPSMT" w:hAnsi="Times New Roman" w:cs="Times New Roman"/>
          <w:iCs/>
          <w:sz w:val="24"/>
          <w:szCs w:val="24"/>
        </w:rPr>
        <w:t xml:space="preserve">impact towards </w:t>
      </w:r>
      <w:r w:rsidRPr="00CA0C69">
        <w:rPr>
          <w:rFonts w:ascii="Times New Roman" w:hAnsi="Times New Roman" w:cs="Times New Roman"/>
          <w:sz w:val="24"/>
          <w:szCs w:val="24"/>
        </w:rPr>
        <w:t>sustainability of industrial supply companies in a saturated market</w:t>
      </w:r>
    </w:p>
    <w:p w:rsidR="00EF4C3F" w:rsidRPr="00CA0C69" w:rsidRDefault="00481ABD" w:rsidP="00CA0C69">
      <w:pPr>
        <w:pStyle w:val="Heading1"/>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lastRenderedPageBreak/>
        <w:t>RESULTS</w:t>
      </w: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3" w:name="_Toc505867626"/>
      <w:r w:rsidRPr="00CA0C69">
        <w:rPr>
          <w:rFonts w:ascii="Times New Roman" w:eastAsia="TimesNewRomanPSMT" w:hAnsi="Times New Roman" w:cs="Times New Roman"/>
          <w:color w:val="auto"/>
          <w:sz w:val="24"/>
          <w:szCs w:val="24"/>
        </w:rPr>
        <w:t>2.1 Descriptive</w:t>
      </w:r>
      <w:r w:rsidR="003B5128" w:rsidRPr="00CA0C69">
        <w:rPr>
          <w:rFonts w:ascii="Times New Roman" w:eastAsia="TimesNewRomanPSMT" w:hAnsi="Times New Roman" w:cs="Times New Roman"/>
          <w:color w:val="auto"/>
          <w:sz w:val="24"/>
          <w:szCs w:val="24"/>
        </w:rPr>
        <w:t xml:space="preserve"> types of s</w:t>
      </w:r>
      <w:r w:rsidRPr="00CA0C69">
        <w:rPr>
          <w:rFonts w:ascii="Times New Roman" w:eastAsia="TimesNewRomanPSMT" w:hAnsi="Times New Roman" w:cs="Times New Roman"/>
          <w:color w:val="auto"/>
          <w:sz w:val="24"/>
          <w:szCs w:val="24"/>
        </w:rPr>
        <w:t>tatistics</w:t>
      </w:r>
      <w:bookmarkEnd w:id="3"/>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aim of this research was to undertake an evaluation of the </w:t>
      </w:r>
      <w:r w:rsidR="008716A9" w:rsidRPr="00CA0C69">
        <w:rPr>
          <w:rFonts w:ascii="Times New Roman" w:hAnsi="Times New Roman" w:cs="Times New Roman"/>
          <w:sz w:val="24"/>
          <w:szCs w:val="24"/>
        </w:rPr>
        <w:t xml:space="preserve">sustainability of industrial supply companies in a saturated market: a Saudi perspective. </w:t>
      </w:r>
      <w:r w:rsidRPr="00CA0C69">
        <w:rPr>
          <w:rFonts w:ascii="Times New Roman" w:hAnsi="Times New Roman" w:cs="Times New Roman"/>
          <w:sz w:val="24"/>
          <w:szCs w:val="24"/>
        </w:rPr>
        <w:t xml:space="preserve">There was an administration of questionnaires to 60 respondents from the population selected. The findings got were then analyzed by use of tables, descriptive statistics and pie charts </w:t>
      </w:r>
      <w:r w:rsidR="004F20B7" w:rsidRPr="00CA0C69">
        <w:rPr>
          <w:rFonts w:ascii="Times New Roman" w:hAnsi="Times New Roman" w:cs="Times New Roman"/>
          <w:color w:val="222222"/>
          <w:sz w:val="24"/>
          <w:szCs w:val="24"/>
          <w:shd w:val="clear" w:color="auto" w:fill="FFFFFF"/>
        </w:rPr>
        <w:t>(Smith, 2015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rPr>
        <w:t>. On top of this, the distribution and characteristics observed from the respondents indeed were highly considered with the objective of acquiring the real or exact primary and secondary data that would fit within the scopes of the research. Certain factors such as gender, nature of work, location and age were given higher levels of scrutiny for the purposes of arriving at accurate results.</w:t>
      </w:r>
    </w:p>
    <w:p w:rsidR="00EF4C3F" w:rsidRPr="00CA0C69" w:rsidRDefault="00481ABD" w:rsidP="00CA0C69">
      <w:pPr>
        <w:autoSpaceDE w:val="0"/>
        <w:autoSpaceDN w:val="0"/>
        <w:adjustRightInd w:val="0"/>
        <w:spacing w:after="0" w:line="480" w:lineRule="auto"/>
        <w:ind w:firstLine="720"/>
        <w:rPr>
          <w:rFonts w:ascii="Times New Roman" w:hAnsi="Times New Roman" w:cs="Times New Roman"/>
          <w:bCs/>
          <w:sz w:val="24"/>
          <w:szCs w:val="24"/>
        </w:rPr>
      </w:pPr>
      <w:r w:rsidRPr="00CA0C69">
        <w:rPr>
          <w:rFonts w:ascii="Times New Roman" w:hAnsi="Times New Roman" w:cs="Times New Roman"/>
          <w:bCs/>
          <w:sz w:val="24"/>
          <w:szCs w:val="24"/>
        </w:rPr>
        <w:t xml:space="preserve">The respondent with the youngest age was 18 years while eldest was 55 years. The respondents had even distribution of age between 18 to 55 years. On top of this, the respondents had been </w:t>
      </w:r>
      <w:r w:rsidR="008716A9" w:rsidRPr="00CA0C69">
        <w:rPr>
          <w:rFonts w:ascii="Times New Roman" w:hAnsi="Times New Roman" w:cs="Times New Roman"/>
          <w:bCs/>
          <w:sz w:val="24"/>
          <w:szCs w:val="24"/>
        </w:rPr>
        <w:t>carrying out business supply in Saudi's saturated market for many years</w:t>
      </w:r>
      <w:r w:rsidRPr="00CA0C69">
        <w:rPr>
          <w:rFonts w:ascii="Times New Roman" w:hAnsi="Times New Roman" w:cs="Times New Roman"/>
          <w:bCs/>
          <w:sz w:val="24"/>
          <w:szCs w:val="24"/>
        </w:rPr>
        <w:t xml:space="preserve">. Meanwhile, the respondents had been aware of the </w:t>
      </w:r>
      <w:r w:rsidR="005E6ECC" w:rsidRPr="00CA0C69">
        <w:rPr>
          <w:rFonts w:ascii="Times New Roman" w:hAnsi="Times New Roman" w:cs="Times New Roman"/>
          <w:bCs/>
          <w:sz w:val="24"/>
          <w:szCs w:val="24"/>
        </w:rPr>
        <w:t xml:space="preserve">saturation of the supply industry in Saudi Arabia </w:t>
      </w:r>
      <w:r w:rsidRPr="00CA0C69">
        <w:rPr>
          <w:rFonts w:ascii="Times New Roman" w:hAnsi="Times New Roman" w:cs="Times New Roman"/>
          <w:bCs/>
          <w:sz w:val="24"/>
          <w:szCs w:val="24"/>
        </w:rPr>
        <w:t xml:space="preserve">for a period 28 years </w:t>
      </w:r>
      <w:r w:rsidR="004F20B7" w:rsidRPr="00CA0C69">
        <w:rPr>
          <w:rFonts w:ascii="Times New Roman" w:hAnsi="Times New Roman" w:cs="Times New Roman"/>
          <w:color w:val="222222"/>
          <w:sz w:val="24"/>
          <w:szCs w:val="24"/>
          <w:shd w:val="clear" w:color="auto" w:fill="FFFFFF"/>
        </w:rPr>
        <w:t>(Smith, 2015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rPr>
        <w:t>.</w:t>
      </w:r>
      <w:r w:rsidRPr="00CA0C69">
        <w:rPr>
          <w:rFonts w:ascii="Times New Roman" w:hAnsi="Times New Roman" w:cs="Times New Roman"/>
          <w:bCs/>
          <w:sz w:val="24"/>
          <w:szCs w:val="24"/>
        </w:rPr>
        <w:t xml:space="preserve"> In this regard, the statistics collected here were collected with the objective of ensuring that the selected sample population was indeed of relevant to the topic of research and as a result had a chance of offering the required data for the study. </w:t>
      </w:r>
      <w:r w:rsidRPr="00CA0C69">
        <w:rPr>
          <w:rFonts w:ascii="Times New Roman" w:hAnsi="Times New Roman" w:cs="Times New Roman"/>
          <w:sz w:val="24"/>
          <w:szCs w:val="24"/>
        </w:rPr>
        <w:t>About the respondent's distribution, 40.0% were the female equivalent to 12 women while 18 were men with a percentage of 60. 0%.</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 xml:space="preserve">A section of the descriptive </w:t>
      </w:r>
      <w:r w:rsidR="003B5128" w:rsidRPr="00CA0C69">
        <w:rPr>
          <w:rFonts w:ascii="Times New Roman" w:eastAsia="TimesNewRomanPSMT" w:hAnsi="Times New Roman" w:cs="Times New Roman"/>
          <w:sz w:val="24"/>
          <w:szCs w:val="24"/>
        </w:rPr>
        <w:t xml:space="preserve">types of </w:t>
      </w:r>
      <w:r w:rsidRPr="00CA0C69">
        <w:rPr>
          <w:rFonts w:ascii="Times New Roman" w:eastAsia="TimesNewRomanPSMT" w:hAnsi="Times New Roman" w:cs="Times New Roman"/>
          <w:sz w:val="24"/>
          <w:szCs w:val="24"/>
        </w:rPr>
        <w:t xml:space="preserve">statistics </w:t>
      </w:r>
      <w:r w:rsidR="003B5128" w:rsidRPr="00CA0C69">
        <w:rPr>
          <w:rFonts w:ascii="Times New Roman" w:eastAsia="TimesNewRomanPSMT" w:hAnsi="Times New Roman" w:cs="Times New Roman"/>
          <w:sz w:val="24"/>
          <w:szCs w:val="24"/>
        </w:rPr>
        <w:t>derived from</w:t>
      </w:r>
      <w:r w:rsidRPr="00CA0C69">
        <w:rPr>
          <w:rFonts w:ascii="Times New Roman" w:eastAsia="TimesNewRomanPSMT" w:hAnsi="Times New Roman" w:cs="Times New Roman"/>
          <w:sz w:val="24"/>
          <w:szCs w:val="24"/>
        </w:rPr>
        <w:t xml:space="preserve"> R-MANX </w:t>
      </w:r>
      <w:r w:rsidR="003B5128" w:rsidRPr="00CA0C69">
        <w:rPr>
          <w:rFonts w:ascii="Times New Roman" w:eastAsia="TimesNewRomanPSMT" w:hAnsi="Times New Roman" w:cs="Times New Roman"/>
          <w:sz w:val="24"/>
          <w:szCs w:val="24"/>
        </w:rPr>
        <w:t>is</w:t>
      </w:r>
      <w:r w:rsidRPr="00CA0C69">
        <w:rPr>
          <w:rFonts w:ascii="Times New Roman" w:eastAsia="TimesNewRomanPSMT" w:hAnsi="Times New Roman" w:cs="Times New Roman"/>
          <w:sz w:val="24"/>
          <w:szCs w:val="24"/>
        </w:rPr>
        <w:t xml:space="preserve"> presented in </w:t>
      </w:r>
      <w:r w:rsidR="003B5128" w:rsidRPr="00CA0C69">
        <w:rPr>
          <w:rFonts w:ascii="Times New Roman" w:eastAsia="TimesNewRomanPSMT" w:hAnsi="Times New Roman" w:cs="Times New Roman"/>
          <w:sz w:val="24"/>
          <w:szCs w:val="24"/>
        </w:rPr>
        <w:t>the first Appendix</w:t>
      </w:r>
      <w:r w:rsidRPr="00CA0C69">
        <w:rPr>
          <w:rFonts w:ascii="Times New Roman" w:eastAsia="TimesNewRomanPSMT" w:hAnsi="Times New Roman" w:cs="Times New Roman"/>
          <w:sz w:val="24"/>
          <w:szCs w:val="24"/>
        </w:rPr>
        <w:t xml:space="preserve">. </w:t>
      </w:r>
      <w:r w:rsidR="003B5128" w:rsidRPr="00CA0C69">
        <w:rPr>
          <w:rFonts w:ascii="Times New Roman" w:eastAsia="TimesNewRomanPSMT" w:hAnsi="Times New Roman" w:cs="Times New Roman"/>
          <w:sz w:val="24"/>
          <w:szCs w:val="24"/>
        </w:rPr>
        <w:t>Mean</w:t>
      </w:r>
      <w:r w:rsidRPr="00CA0C69">
        <w:rPr>
          <w:rFonts w:ascii="Times New Roman" w:eastAsia="TimesNewRomanPSMT" w:hAnsi="Times New Roman" w:cs="Times New Roman"/>
          <w:sz w:val="24"/>
          <w:szCs w:val="24"/>
        </w:rPr>
        <w:t xml:space="preserve"> registered ranges of 2.22 to 3.39. Each standard deviation (SD) registered was beyond 1.0 thus revealing of a large spread of the scores of the item close to the mean. The examination of the data was done for the sake of the multivariate form of normality, </w:t>
      </w:r>
      <w:r w:rsidRPr="00CA0C69">
        <w:rPr>
          <w:rFonts w:ascii="Times New Roman" w:eastAsia="TimesNewRomanPSMT" w:hAnsi="Times New Roman" w:cs="Times New Roman"/>
          <w:sz w:val="24"/>
          <w:szCs w:val="24"/>
        </w:rPr>
        <w:lastRenderedPageBreak/>
        <w:t xml:space="preserve">multicollinearity and other forms of outliers before proceeding with the assessment of the factor structure from each response </w:t>
      </w:r>
      <w:r w:rsidRPr="00CA0C69">
        <w:rPr>
          <w:rFonts w:ascii="Times New Roman" w:hAnsi="Times New Roman" w:cs="Times New Roman"/>
          <w:sz w:val="24"/>
          <w:szCs w:val="24"/>
          <w:shd w:val="clear" w:color="auto" w:fill="FFFFFF"/>
        </w:rPr>
        <w:t>(Karimi and Venkatesan, 2009)</w:t>
      </w:r>
      <w:r w:rsidRPr="00CA0C69">
        <w:rPr>
          <w:rFonts w:ascii="Times New Roman" w:eastAsia="TimesNewRomanPSMT" w:hAnsi="Times New Roman" w:cs="Times New Roman"/>
          <w:sz w:val="24"/>
          <w:szCs w:val="24"/>
        </w:rPr>
        <w:t xml:space="preserve">. The bivariate forms of correlations, tolerance and the variance inflation readings showed that neither the bivariate nor the multivariate was available. Since the possible likelihood approximation gives an assumption of the normality seen variables, the data were evaluated about the univariate and multivariate forms of normality. </w:t>
      </w:r>
    </w:p>
    <w:p w:rsidR="00EF4C3F" w:rsidRPr="00CA0C69" w:rsidRDefault="00EF4C3F" w:rsidP="00CA0C69">
      <w:pPr>
        <w:autoSpaceDE w:val="0"/>
        <w:autoSpaceDN w:val="0"/>
        <w:adjustRightInd w:val="0"/>
        <w:spacing w:after="0" w:line="480" w:lineRule="auto"/>
        <w:rPr>
          <w:rFonts w:ascii="Times New Roman" w:eastAsia="TimesNewRomanPSMT" w:hAnsi="Times New Roman" w:cs="Times New Roman"/>
          <w:b/>
          <w:sz w:val="24"/>
          <w:szCs w:val="24"/>
        </w:rPr>
      </w:pP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4" w:name="_Toc505867627"/>
      <w:r w:rsidRPr="00CA0C69">
        <w:rPr>
          <w:rFonts w:ascii="Times New Roman" w:eastAsia="TimesNewRomanPSMT" w:hAnsi="Times New Roman" w:cs="Times New Roman"/>
          <w:color w:val="auto"/>
          <w:sz w:val="24"/>
          <w:szCs w:val="24"/>
        </w:rPr>
        <w:t>2.2 Measures</w:t>
      </w:r>
      <w:bookmarkEnd w:id="4"/>
      <w:r w:rsidR="00601374" w:rsidRPr="00CA0C69">
        <w:rPr>
          <w:rFonts w:ascii="Times New Roman" w:eastAsia="TimesNewRomanPSMT" w:hAnsi="Times New Roman" w:cs="Times New Roman"/>
          <w:color w:val="auto"/>
          <w:sz w:val="24"/>
          <w:szCs w:val="24"/>
        </w:rPr>
        <w:t xml:space="preserve"> of reliability</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The reliability of the measurement of every item, each construct's reliability and variance averages got were evaluated with the intent of assessing the</w:t>
      </w:r>
      <w:r w:rsidR="00556407" w:rsidRPr="00CA0C69">
        <w:rPr>
          <w:rFonts w:ascii="Times New Roman" w:eastAsia="TimesNewRomanPSMT" w:hAnsi="Times New Roman" w:cs="Times New Roman"/>
          <w:sz w:val="24"/>
          <w:szCs w:val="24"/>
        </w:rPr>
        <w:t xml:space="preserve"> items’ validity</w:t>
      </w:r>
      <w:r w:rsidRPr="00CA0C69">
        <w:rPr>
          <w:rFonts w:ascii="Times New Roman" w:eastAsia="TimesNewRomanPSMT" w:hAnsi="Times New Roman" w:cs="Times New Roman"/>
          <w:sz w:val="24"/>
          <w:szCs w:val="24"/>
        </w:rPr>
        <w:t xml:space="preserve"> </w:t>
      </w:r>
      <w:r w:rsidR="00556407" w:rsidRPr="00CA0C69">
        <w:rPr>
          <w:rFonts w:ascii="Times New Roman" w:eastAsia="TimesNewRomanPSMT" w:hAnsi="Times New Roman" w:cs="Times New Roman"/>
          <w:sz w:val="24"/>
          <w:szCs w:val="24"/>
        </w:rPr>
        <w:t xml:space="preserve">about </w:t>
      </w:r>
      <w:r w:rsidR="0045050F" w:rsidRPr="00CA0C69">
        <w:rPr>
          <w:rFonts w:ascii="Times New Roman" w:eastAsia="TimesNewRomanPSMT" w:hAnsi="Times New Roman" w:cs="Times New Roman"/>
          <w:sz w:val="24"/>
          <w:szCs w:val="24"/>
        </w:rPr>
        <w:t>the convergent</w:t>
      </w:r>
      <w:r w:rsidRPr="00CA0C69">
        <w:rPr>
          <w:rFonts w:ascii="Times New Roman" w:eastAsia="TimesNewRomanPSMT" w:hAnsi="Times New Roman" w:cs="Times New Roman"/>
          <w:sz w:val="24"/>
          <w:szCs w:val="24"/>
        </w:rPr>
        <w:t xml:space="preserve"> in connection to the constructs</w:t>
      </w:r>
      <w:r w:rsidRPr="00CA0C69">
        <w:rPr>
          <w:rFonts w:ascii="Times New Roman" w:hAnsi="Times New Roman" w:cs="Times New Roman"/>
          <w:sz w:val="24"/>
          <w:szCs w:val="24"/>
          <w:shd w:val="clear" w:color="auto" w:fill="FFFFFF"/>
        </w:rPr>
        <w:t xml:space="preserve"> (Karimi and Venkatesan, 2009)</w:t>
      </w:r>
      <w:r w:rsidRPr="00CA0C69">
        <w:rPr>
          <w:rFonts w:ascii="Times New Roman" w:eastAsia="TimesNewRomanPSMT" w:hAnsi="Times New Roman" w:cs="Times New Roman"/>
          <w:sz w:val="24"/>
          <w:szCs w:val="24"/>
        </w:rPr>
        <w:t xml:space="preserve">. The significance of the composite type of reliability is same as that of the case of the Cronbach’s Alpha with the exception that it factors in the real factor loadings instead of giving the assumption of every item being the same to those weighted in the composite case of load determination. The table 1 presents on the constructs reliability ranging from 0.86 to 0.95 that are beyond the minimum value that is set at 0.70.  The table also gives reporting on the association between the constructs and the square root of mean-variance obtained. The outcomes back the discriminant validity dies to the fact that every construct has a larger square root of AVE that is bigger than the intercorrelation of the constructs.  </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noProof/>
          <w:sz w:val="24"/>
          <w:szCs w:val="24"/>
        </w:rPr>
        <w:lastRenderedPageBreak/>
        <w:drawing>
          <wp:inline distT="0" distB="0" distL="0" distR="0">
            <wp:extent cx="5638800" cy="19621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34289" name="Picture 1"/>
                    <pic:cNvPicPr>
                      <a:picLocks noChangeAspect="1" noChangeArrowheads="1"/>
                    </pic:cNvPicPr>
                  </pic:nvPicPr>
                  <pic:blipFill>
                    <a:blip r:embed="rId7" cstate="print"/>
                    <a:stretch>
                      <a:fillRect/>
                    </a:stretch>
                  </pic:blipFill>
                  <pic:spPr bwMode="auto">
                    <a:xfrm>
                      <a:off x="0" y="0"/>
                      <a:ext cx="5638800" cy="1962150"/>
                    </a:xfrm>
                    <a:prstGeom prst="rect">
                      <a:avLst/>
                    </a:prstGeom>
                    <a:noFill/>
                    <a:ln w="9525">
                      <a:noFill/>
                      <a:miter lim="800000"/>
                      <a:headEnd/>
                      <a:tailEnd/>
                    </a:ln>
                  </pic:spPr>
                </pic:pic>
              </a:graphicData>
            </a:graphic>
          </wp:inline>
        </w:drawing>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Table 1:</w:t>
      </w:r>
      <w:r w:rsidR="00231A64" w:rsidRPr="00CA0C69">
        <w:rPr>
          <w:rFonts w:ascii="Times New Roman" w:eastAsia="TimesNewRomanPSMT" w:hAnsi="Times New Roman" w:cs="Times New Roman"/>
          <w:sz w:val="24"/>
          <w:szCs w:val="24"/>
        </w:rPr>
        <w:t xml:space="preserve"> Constructs reliability and the extracted variance’s average </w:t>
      </w: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5" w:name="_Toc505867628"/>
      <w:r w:rsidRPr="00CA0C69">
        <w:rPr>
          <w:rFonts w:ascii="Times New Roman" w:eastAsia="TimesNewRomanPSMT" w:hAnsi="Times New Roman" w:cs="Times New Roman"/>
          <w:color w:val="auto"/>
          <w:sz w:val="24"/>
          <w:szCs w:val="24"/>
        </w:rPr>
        <w:t xml:space="preserve">2.3 Convergent </w:t>
      </w:r>
      <w:r w:rsidR="00231A64" w:rsidRPr="00CA0C69">
        <w:rPr>
          <w:rFonts w:ascii="Times New Roman" w:eastAsia="TimesNewRomanPSMT" w:hAnsi="Times New Roman" w:cs="Times New Roman"/>
          <w:color w:val="auto"/>
          <w:sz w:val="24"/>
          <w:szCs w:val="24"/>
        </w:rPr>
        <w:t>type of v</w:t>
      </w:r>
      <w:r w:rsidRPr="00CA0C69">
        <w:rPr>
          <w:rFonts w:ascii="Times New Roman" w:eastAsia="TimesNewRomanPSMT" w:hAnsi="Times New Roman" w:cs="Times New Roman"/>
          <w:color w:val="auto"/>
          <w:sz w:val="24"/>
          <w:szCs w:val="24"/>
        </w:rPr>
        <w:t>alidity</w:t>
      </w:r>
      <w:bookmarkEnd w:id="5"/>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Convergent measurement of validity gives the items correlation through a single construct for the purposes of ensuring that items correlate. Similarly, the aspect also gives the measurement of the existing dimensions. Each measurement's reliability, the composite </w:t>
      </w:r>
      <w:r w:rsidR="00963402" w:rsidRPr="00CA0C69">
        <w:rPr>
          <w:rFonts w:ascii="Times New Roman" w:eastAsia="TimesNewRomanPSMT" w:hAnsi="Times New Roman" w:cs="Times New Roman"/>
          <w:iCs/>
          <w:sz w:val="24"/>
          <w:szCs w:val="24"/>
        </w:rPr>
        <w:t xml:space="preserve">type of </w:t>
      </w:r>
      <w:r w:rsidRPr="00CA0C69">
        <w:rPr>
          <w:rFonts w:ascii="Times New Roman" w:eastAsia="TimesNewRomanPSMT" w:hAnsi="Times New Roman" w:cs="Times New Roman"/>
          <w:iCs/>
          <w:sz w:val="24"/>
          <w:szCs w:val="24"/>
        </w:rPr>
        <w:t xml:space="preserve">reliability of </w:t>
      </w:r>
      <w:r w:rsidR="00963402" w:rsidRPr="00CA0C69">
        <w:rPr>
          <w:rFonts w:ascii="Times New Roman" w:eastAsia="TimesNewRomanPSMT" w:hAnsi="Times New Roman" w:cs="Times New Roman"/>
          <w:iCs/>
          <w:sz w:val="24"/>
          <w:szCs w:val="24"/>
        </w:rPr>
        <w:t xml:space="preserve">every </w:t>
      </w:r>
      <w:r w:rsidRPr="00CA0C69">
        <w:rPr>
          <w:rFonts w:ascii="Times New Roman" w:eastAsia="TimesNewRomanPSMT" w:hAnsi="Times New Roman" w:cs="Times New Roman"/>
          <w:iCs/>
          <w:sz w:val="24"/>
          <w:szCs w:val="24"/>
        </w:rPr>
        <w:t xml:space="preserve">construct </w:t>
      </w:r>
      <w:r w:rsidR="00963402" w:rsidRPr="00CA0C69">
        <w:rPr>
          <w:rFonts w:ascii="Times New Roman" w:eastAsia="TimesNewRomanPSMT" w:hAnsi="Times New Roman" w:cs="Times New Roman"/>
          <w:iCs/>
          <w:sz w:val="24"/>
          <w:szCs w:val="24"/>
        </w:rPr>
        <w:t>plus the</w:t>
      </w:r>
      <w:r w:rsidRPr="00CA0C69">
        <w:rPr>
          <w:rFonts w:ascii="Times New Roman" w:eastAsia="TimesNewRomanPSMT" w:hAnsi="Times New Roman" w:cs="Times New Roman"/>
          <w:iCs/>
          <w:sz w:val="24"/>
          <w:szCs w:val="24"/>
        </w:rPr>
        <w:t xml:space="preserve"> mean-variance </w:t>
      </w:r>
      <w:r w:rsidR="00963402" w:rsidRPr="00CA0C69">
        <w:rPr>
          <w:rFonts w:ascii="Times New Roman" w:eastAsia="TimesNewRomanPSMT" w:hAnsi="Times New Roman" w:cs="Times New Roman"/>
          <w:iCs/>
          <w:sz w:val="24"/>
          <w:szCs w:val="24"/>
        </w:rPr>
        <w:t>attained</w:t>
      </w:r>
      <w:r w:rsidRPr="00CA0C69">
        <w:rPr>
          <w:rFonts w:ascii="Times New Roman" w:eastAsia="TimesNewRomanPSMT" w:hAnsi="Times New Roman" w:cs="Times New Roman"/>
          <w:iCs/>
          <w:sz w:val="24"/>
          <w:szCs w:val="24"/>
        </w:rPr>
        <w:t xml:space="preserve"> were evaluated with the objective of assessing the convergent type of validity of the items of measurement in connection with the respective constructs</w:t>
      </w:r>
      <w:r w:rsidRPr="00CA0C69">
        <w:rPr>
          <w:rFonts w:ascii="Times New Roman" w:hAnsi="Times New Roman" w:cs="Times New Roman"/>
          <w:sz w:val="24"/>
          <w:szCs w:val="24"/>
          <w:shd w:val="clear" w:color="auto" w:fill="FFFFFF"/>
        </w:rPr>
        <w:t xml:space="preserve"> (Ozgen and Bindaka, 2011)</w:t>
      </w:r>
      <w:r w:rsidRPr="00CA0C69">
        <w:rPr>
          <w:rFonts w:ascii="Times New Roman" w:eastAsia="TimesNewRomanPSMT" w:hAnsi="Times New Roman" w:cs="Times New Roman"/>
          <w:iCs/>
          <w:sz w:val="24"/>
          <w:szCs w:val="24"/>
        </w:rPr>
        <w:t xml:space="preserve">. The significance of the composite type of reliability is the same to that of the Cronbach Alpha with the exception that it takes into consideration of the loadings instead of giving an assumption of every item on an equal basis based on the weighted as specified in the composite load description. Concerning an item's reliability level, the least requirement for the factor of loading is 0.7. In appendix 2, the shows the report of the prevalent factor loadings that were beyond the desired cut off point. Hence, the convergent validity was satisfying the level of an item.   </w:t>
      </w:r>
    </w:p>
    <w:p w:rsidR="00EF4C3F" w:rsidRPr="00CA0C69" w:rsidRDefault="00EF4C3F" w:rsidP="00CA0C69">
      <w:pPr>
        <w:autoSpaceDE w:val="0"/>
        <w:autoSpaceDN w:val="0"/>
        <w:adjustRightInd w:val="0"/>
        <w:spacing w:after="0" w:line="480" w:lineRule="auto"/>
        <w:rPr>
          <w:rFonts w:ascii="Times New Roman" w:eastAsia="TimesNewRomanPSMT" w:hAnsi="Times New Roman" w:cs="Times New Roman"/>
          <w:iCs/>
          <w:sz w:val="24"/>
          <w:szCs w:val="24"/>
        </w:rPr>
      </w:pP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6" w:name="_Toc505867629"/>
      <w:r w:rsidRPr="00CA0C69">
        <w:rPr>
          <w:rFonts w:ascii="Times New Roman" w:eastAsia="TimesNewRomanPSMT" w:hAnsi="Times New Roman" w:cs="Times New Roman"/>
          <w:color w:val="auto"/>
          <w:sz w:val="24"/>
          <w:szCs w:val="24"/>
        </w:rPr>
        <w:lastRenderedPageBreak/>
        <w:t>2.4 Exploratory Factor Assessment</w:t>
      </w:r>
      <w:bookmarkEnd w:id="6"/>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The R-MANX's 30 items were made to undergo principal component evaluation (PCA) by use of the SPSS version 22 as presented in Appendix 2. The study carried out an assessment of the data's suitability for evaluation through first conducting an </w:t>
      </w:r>
      <w:r w:rsidR="00ED4CC2" w:rsidRPr="00CA0C69">
        <w:rPr>
          <w:rFonts w:ascii="Times New Roman" w:eastAsia="TimesNewRomanPSMT" w:hAnsi="Times New Roman" w:cs="Times New Roman"/>
          <w:iCs/>
          <w:sz w:val="24"/>
          <w:szCs w:val="24"/>
        </w:rPr>
        <w:t xml:space="preserve">assessment of the correlation type of matrix based on the coefficients’ evidence above </w:t>
      </w:r>
      <w:r w:rsidRPr="00CA0C69">
        <w:rPr>
          <w:rFonts w:ascii="Times New Roman" w:eastAsia="TimesNewRomanPSMT" w:hAnsi="Times New Roman" w:cs="Times New Roman"/>
          <w:iCs/>
          <w:sz w:val="24"/>
          <w:szCs w:val="24"/>
        </w:rPr>
        <w:t xml:space="preserve">0.3 </w:t>
      </w:r>
      <w:r w:rsidRPr="00CA0C69">
        <w:rPr>
          <w:rFonts w:ascii="Times New Roman" w:hAnsi="Times New Roman" w:cs="Times New Roman"/>
          <w:sz w:val="24"/>
          <w:szCs w:val="24"/>
          <w:shd w:val="clear" w:color="auto" w:fill="FFFFFF"/>
        </w:rPr>
        <w:t>(Li &amp; Ma, 2010)</w:t>
      </w:r>
      <w:r w:rsidRPr="00CA0C69">
        <w:rPr>
          <w:rFonts w:ascii="Times New Roman" w:eastAsia="TimesNewRomanPSMT" w:hAnsi="Times New Roman" w:cs="Times New Roman"/>
          <w:iCs/>
          <w:sz w:val="24"/>
          <w:szCs w:val="24"/>
        </w:rPr>
        <w:t xml:space="preserve">. The correlation of matrix's inspection showed the availability of the several coefficients of 0.3 and beyond thus depicting of the factor analysis being desirable.  To assist in the assessment of the aspect of the </w:t>
      </w:r>
      <w:r w:rsidR="00BC4AD3" w:rsidRPr="00CA0C69">
        <w:rPr>
          <w:rFonts w:ascii="Times New Roman" w:eastAsia="TimesNewRomanPSMT" w:hAnsi="Times New Roman" w:cs="Times New Roman"/>
          <w:iCs/>
          <w:sz w:val="24"/>
          <w:szCs w:val="24"/>
        </w:rPr>
        <w:t xml:space="preserve">data’s factorability </w:t>
      </w:r>
      <w:r w:rsidRPr="00CA0C69">
        <w:rPr>
          <w:rFonts w:ascii="Times New Roman" w:eastAsia="TimesNewRomanPSMT" w:hAnsi="Times New Roman" w:cs="Times New Roman"/>
          <w:iCs/>
          <w:sz w:val="24"/>
          <w:szCs w:val="24"/>
        </w:rPr>
        <w:t xml:space="preserve">two cases of statistical measurements were computed by use of SPSS; such as </w:t>
      </w:r>
      <w:r w:rsidRPr="00CA0C69">
        <w:rPr>
          <w:rFonts w:ascii="Times New Roman" w:eastAsia="TimesNewRomanPSMT" w:hAnsi="Times New Roman" w:cs="Times New Roman"/>
          <w:i/>
          <w:iCs/>
          <w:sz w:val="24"/>
          <w:szCs w:val="24"/>
        </w:rPr>
        <w:t>Bartlett’s Test on Sphericity and Kaiser-Meyer-Olkin (KMO</w:t>
      </w:r>
      <w:r w:rsidR="00BC4AD3" w:rsidRPr="00CA0C69">
        <w:rPr>
          <w:rFonts w:ascii="Times New Roman" w:eastAsia="TimesNewRomanPSMT" w:hAnsi="Times New Roman" w:cs="Times New Roman"/>
          <w:i/>
          <w:iCs/>
          <w:sz w:val="24"/>
          <w:szCs w:val="24"/>
        </w:rPr>
        <w:t>)</w:t>
      </w:r>
      <w:r w:rsidR="00BC4AD3" w:rsidRPr="00CA0C69">
        <w:rPr>
          <w:rFonts w:ascii="Times New Roman" w:eastAsia="TimesNewRomanPSMT" w:hAnsi="Times New Roman" w:cs="Times New Roman"/>
          <w:iCs/>
          <w:sz w:val="24"/>
          <w:szCs w:val="24"/>
        </w:rPr>
        <w:t xml:space="preserve"> that conducts sampling on the adequacy </w:t>
      </w:r>
      <w:r w:rsidRPr="00CA0C69">
        <w:rPr>
          <w:rFonts w:ascii="Times New Roman" w:eastAsia="TimesNewRomanPSMT" w:hAnsi="Times New Roman" w:cs="Times New Roman"/>
          <w:iCs/>
          <w:sz w:val="24"/>
          <w:szCs w:val="24"/>
        </w:rPr>
        <w:t xml:space="preserve">measurement. The value of the KMO stood at 0.94 thus going above the </w:t>
      </w:r>
      <w:r w:rsidR="00C86FF0" w:rsidRPr="00CA0C69">
        <w:rPr>
          <w:rFonts w:ascii="Times New Roman" w:eastAsia="TimesNewRomanPSMT" w:hAnsi="Times New Roman" w:cs="Times New Roman"/>
          <w:iCs/>
          <w:sz w:val="24"/>
          <w:szCs w:val="24"/>
        </w:rPr>
        <w:t xml:space="preserve">value </w:t>
      </w:r>
      <w:r w:rsidRPr="00CA0C69">
        <w:rPr>
          <w:rFonts w:ascii="Times New Roman" w:eastAsia="TimesNewRomanPSMT" w:hAnsi="Times New Roman" w:cs="Times New Roman"/>
          <w:iCs/>
          <w:sz w:val="24"/>
          <w:szCs w:val="24"/>
        </w:rPr>
        <w:t xml:space="preserve">desired </w:t>
      </w:r>
      <w:r w:rsidR="00C86FF0" w:rsidRPr="00CA0C69">
        <w:rPr>
          <w:rFonts w:ascii="Times New Roman" w:eastAsia="TimesNewRomanPSMT" w:hAnsi="Times New Roman" w:cs="Times New Roman"/>
          <w:iCs/>
          <w:sz w:val="24"/>
          <w:szCs w:val="24"/>
        </w:rPr>
        <w:t xml:space="preserve">at 0.6, and </w:t>
      </w:r>
      <w:r w:rsidRPr="00CA0C69">
        <w:rPr>
          <w:rFonts w:ascii="Times New Roman" w:eastAsia="TimesNewRomanPSMT" w:hAnsi="Times New Roman" w:cs="Times New Roman"/>
          <w:i/>
          <w:iCs/>
          <w:sz w:val="24"/>
          <w:szCs w:val="24"/>
        </w:rPr>
        <w:t>Bartlett's Test of Sphericity</w:t>
      </w:r>
      <w:r w:rsidRPr="00CA0C69">
        <w:rPr>
          <w:rFonts w:ascii="Times New Roman" w:eastAsia="TimesNewRomanPSMT" w:hAnsi="Times New Roman" w:cs="Times New Roman"/>
          <w:iCs/>
          <w:sz w:val="24"/>
          <w:szCs w:val="24"/>
        </w:rPr>
        <w:t xml:space="preserve"> </w:t>
      </w:r>
      <w:r w:rsidR="00C86FF0" w:rsidRPr="00CA0C69">
        <w:rPr>
          <w:rFonts w:ascii="Times New Roman" w:eastAsia="TimesNewRomanPSMT" w:hAnsi="Times New Roman" w:cs="Times New Roman"/>
          <w:iCs/>
          <w:sz w:val="24"/>
          <w:szCs w:val="24"/>
        </w:rPr>
        <w:t>was crucial</w:t>
      </w:r>
      <w:r w:rsidRPr="00CA0C69">
        <w:rPr>
          <w:rFonts w:ascii="Times New Roman" w:eastAsia="TimesNewRomanPSMT" w:hAnsi="Times New Roman" w:cs="Times New Roman"/>
          <w:iCs/>
          <w:sz w:val="24"/>
          <w:szCs w:val="24"/>
        </w:rPr>
        <w:t xml:space="preserve"> in offering support to the correlation matrix’ factorability. PCA was utilized in the extraction of the factors that abided with the oblique form of rotation thus revealing on the availability of a total of</w:t>
      </w:r>
      <w:r w:rsidR="00483918" w:rsidRPr="00CA0C69">
        <w:rPr>
          <w:rFonts w:ascii="Times New Roman" w:eastAsia="TimesNewRomanPSMT" w:hAnsi="Times New Roman" w:cs="Times New Roman"/>
          <w:iCs/>
          <w:sz w:val="24"/>
          <w:szCs w:val="24"/>
        </w:rPr>
        <w:t xml:space="preserve"> five components that have eight </w:t>
      </w:r>
      <w:r w:rsidRPr="00CA0C69">
        <w:rPr>
          <w:rFonts w:ascii="Times New Roman" w:eastAsia="TimesNewRomanPSMT" w:hAnsi="Times New Roman" w:cs="Times New Roman"/>
          <w:iCs/>
          <w:sz w:val="24"/>
          <w:szCs w:val="24"/>
        </w:rPr>
        <w:t>values beyond 1 (7.73, 2.02, 1.88, 1.10 and 1.04). The five components explained the total percentage of 45.89 registered from the variance.</w:t>
      </w:r>
    </w:p>
    <w:p w:rsidR="00EF4C3F" w:rsidRPr="00CA0C69" w:rsidRDefault="00481ABD" w:rsidP="00CA0C69">
      <w:pPr>
        <w:pStyle w:val="Heading2"/>
        <w:spacing w:line="480" w:lineRule="auto"/>
        <w:jc w:val="center"/>
        <w:rPr>
          <w:rFonts w:ascii="Times New Roman" w:eastAsia="TimesNewRomanPSMT" w:hAnsi="Times New Roman" w:cs="Times New Roman"/>
          <w:iCs/>
          <w:color w:val="auto"/>
          <w:sz w:val="24"/>
          <w:szCs w:val="24"/>
        </w:rPr>
      </w:pPr>
      <w:bookmarkStart w:id="7" w:name="_Toc505867630"/>
      <w:r w:rsidRPr="00CA0C69">
        <w:rPr>
          <w:rFonts w:ascii="Times New Roman" w:eastAsia="TimesNewRomanPSMT" w:hAnsi="Times New Roman" w:cs="Times New Roman"/>
          <w:iCs/>
          <w:color w:val="auto"/>
          <w:sz w:val="24"/>
          <w:szCs w:val="24"/>
        </w:rPr>
        <w:t xml:space="preserve">2.5 </w:t>
      </w:r>
      <w:bookmarkEnd w:id="7"/>
      <w:r w:rsidR="00336DE8" w:rsidRPr="00CA0C69">
        <w:rPr>
          <w:rFonts w:ascii="Times New Roman" w:eastAsia="TimesNewRomanPSMT" w:hAnsi="Times New Roman" w:cs="Times New Roman"/>
          <w:iCs/>
          <w:color w:val="auto"/>
          <w:sz w:val="24"/>
          <w:szCs w:val="24"/>
        </w:rPr>
        <w:t>Scores of</w:t>
      </w:r>
      <w:r w:rsidR="00D80C40" w:rsidRPr="00CA0C69">
        <w:rPr>
          <w:rFonts w:ascii="Times New Roman" w:eastAsia="TimesNewRomanPSMT" w:hAnsi="Times New Roman" w:cs="Times New Roman"/>
          <w:iCs/>
          <w:color w:val="auto"/>
          <w:sz w:val="24"/>
          <w:szCs w:val="24"/>
        </w:rPr>
        <w:t xml:space="preserve"> sustainability scale based on levels of grades</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One –way cases of groups’ evaluation of the variance was performed with the objective of exploring the effect of grade on the anxiety</w:t>
      </w:r>
      <w:r w:rsidR="00F12ABB" w:rsidRPr="00CA0C69">
        <w:rPr>
          <w:rFonts w:ascii="Times New Roman" w:eastAsia="TimesNewRomanPSMT" w:hAnsi="Times New Roman" w:cs="Times New Roman"/>
          <w:sz w:val="24"/>
          <w:szCs w:val="24"/>
        </w:rPr>
        <w:t xml:space="preserve"> sustainability levels in industrial supply firms in markets that are saturated </w:t>
      </w:r>
      <w:r w:rsidRPr="00CA0C69">
        <w:rPr>
          <w:rFonts w:ascii="Times New Roman" w:eastAsia="TimesNewRomanPSMT" w:hAnsi="Times New Roman" w:cs="Times New Roman"/>
          <w:sz w:val="24"/>
          <w:szCs w:val="24"/>
        </w:rPr>
        <w:t>as measurement done by the R-MANX (low, high moderate)</w:t>
      </w:r>
      <w:r w:rsidRPr="00CA0C69">
        <w:rPr>
          <w:rFonts w:ascii="Times New Roman" w:hAnsi="Times New Roman" w:cs="Times New Roman"/>
          <w:sz w:val="24"/>
          <w:szCs w:val="24"/>
          <w:shd w:val="clear" w:color="auto" w:fill="FFFFFF"/>
        </w:rPr>
        <w:t xml:space="preserve"> (Li &amp; Ma, 2010).</w:t>
      </w:r>
      <w:r w:rsidRPr="00CA0C69">
        <w:rPr>
          <w:rFonts w:ascii="Times New Roman" w:eastAsia="TimesNewRomanPSMT" w:hAnsi="Times New Roman" w:cs="Times New Roman"/>
          <w:sz w:val="24"/>
          <w:szCs w:val="24"/>
        </w:rPr>
        <w:t xml:space="preserve"> The subjects were for the </w:t>
      </w:r>
      <w:r w:rsidR="00531A80" w:rsidRPr="00CA0C69">
        <w:rPr>
          <w:rFonts w:ascii="Times New Roman" w:eastAsia="TimesNewRomanPSMT" w:hAnsi="Times New Roman" w:cs="Times New Roman"/>
          <w:sz w:val="24"/>
          <w:szCs w:val="24"/>
        </w:rPr>
        <w:t>respondents</w:t>
      </w:r>
      <w:r w:rsidRPr="00CA0C69">
        <w:rPr>
          <w:rFonts w:ascii="Times New Roman" w:eastAsia="TimesNewRomanPSMT" w:hAnsi="Times New Roman" w:cs="Times New Roman"/>
          <w:sz w:val="24"/>
          <w:szCs w:val="24"/>
        </w:rPr>
        <w:t xml:space="preserve"> in grade 1, 2, 3 and 4. There was in place a major statistical variation at the value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&lt; .05 level within the R-MANX </w:t>
      </w:r>
      <w:r w:rsidR="00F12ABB" w:rsidRPr="00CA0C69">
        <w:rPr>
          <w:rFonts w:ascii="Times New Roman" w:eastAsia="TimesNewRomanPSMT" w:hAnsi="Times New Roman" w:cs="Times New Roman"/>
          <w:sz w:val="24"/>
          <w:szCs w:val="24"/>
        </w:rPr>
        <w:t xml:space="preserve">figures </w:t>
      </w:r>
      <w:r w:rsidRPr="00CA0C69">
        <w:rPr>
          <w:rFonts w:ascii="Times New Roman" w:eastAsia="TimesNewRomanPSMT" w:hAnsi="Times New Roman" w:cs="Times New Roman"/>
          <w:sz w:val="24"/>
          <w:szCs w:val="24"/>
        </w:rPr>
        <w:t xml:space="preserve">for </w:t>
      </w:r>
      <w:r w:rsidR="00F12ABB" w:rsidRPr="00CA0C69">
        <w:rPr>
          <w:rFonts w:ascii="Times New Roman" w:eastAsia="TimesNewRomanPSMT" w:hAnsi="Times New Roman" w:cs="Times New Roman"/>
          <w:sz w:val="24"/>
          <w:szCs w:val="24"/>
        </w:rPr>
        <w:t>each</w:t>
      </w:r>
      <w:r w:rsidRPr="00CA0C69">
        <w:rPr>
          <w:rFonts w:ascii="Times New Roman" w:eastAsia="TimesNewRomanPSMT" w:hAnsi="Times New Roman" w:cs="Times New Roman"/>
          <w:sz w:val="24"/>
          <w:szCs w:val="24"/>
        </w:rPr>
        <w:t xml:space="preserve"> grade levels; F (3, 382) = 9.09,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 .00. </w:t>
      </w:r>
      <w:r w:rsidR="00F12ABB" w:rsidRPr="00CA0C69">
        <w:rPr>
          <w:rFonts w:ascii="Times New Roman" w:eastAsia="TimesNewRomanPSMT" w:hAnsi="Times New Roman" w:cs="Times New Roman"/>
          <w:sz w:val="24"/>
          <w:szCs w:val="24"/>
        </w:rPr>
        <w:t>Meanwhile, t</w:t>
      </w:r>
      <w:r w:rsidRPr="00CA0C69">
        <w:rPr>
          <w:rFonts w:ascii="Times New Roman" w:eastAsia="TimesNewRomanPSMT" w:hAnsi="Times New Roman" w:cs="Times New Roman"/>
          <w:sz w:val="24"/>
          <w:szCs w:val="24"/>
        </w:rPr>
        <w:t xml:space="preserve">he size had an effect of 0.7, and it was determined by use of the eta squared. The effect was regarded as the moderate size effect while 0.1 was </w:t>
      </w:r>
      <w:r w:rsidRPr="00CA0C69">
        <w:rPr>
          <w:rFonts w:ascii="Times New Roman" w:eastAsia="TimesNewRomanPSMT" w:hAnsi="Times New Roman" w:cs="Times New Roman"/>
          <w:sz w:val="24"/>
          <w:szCs w:val="24"/>
        </w:rPr>
        <w:lastRenderedPageBreak/>
        <w:t xml:space="preserve">considered as a small effect. On the other hand, o.6 was regarded as medium effect while 0.14 being categorized as a bigger effect. Comparison by use of post-hoc with also the specific use of the </w:t>
      </w:r>
      <w:r w:rsidR="00F12ABB" w:rsidRPr="00CA0C69">
        <w:rPr>
          <w:rFonts w:ascii="Times New Roman" w:eastAsia="TimesNewRomanPSMT" w:hAnsi="Times New Roman" w:cs="Times New Roman"/>
          <w:sz w:val="24"/>
          <w:szCs w:val="24"/>
        </w:rPr>
        <w:t xml:space="preserve">test on </w:t>
      </w:r>
      <w:r w:rsidRPr="00CA0C69">
        <w:rPr>
          <w:rFonts w:ascii="Times New Roman" w:eastAsia="TimesNewRomanPSMT" w:hAnsi="Times New Roman" w:cs="Times New Roman"/>
          <w:sz w:val="24"/>
          <w:szCs w:val="24"/>
        </w:rPr>
        <w:t xml:space="preserve">Tukey HSD </w:t>
      </w:r>
      <w:r w:rsidR="00F12ABB" w:rsidRPr="00CA0C69">
        <w:rPr>
          <w:rFonts w:ascii="Times New Roman" w:eastAsia="TimesNewRomanPSMT" w:hAnsi="Times New Roman" w:cs="Times New Roman"/>
          <w:sz w:val="24"/>
          <w:szCs w:val="24"/>
        </w:rPr>
        <w:t>which revealed</w:t>
      </w:r>
      <w:r w:rsidRPr="00CA0C69">
        <w:rPr>
          <w:rFonts w:ascii="Times New Roman" w:eastAsia="TimesNewRomanPSMT" w:hAnsi="Times New Roman" w:cs="Times New Roman"/>
          <w:sz w:val="24"/>
          <w:szCs w:val="24"/>
        </w:rPr>
        <w:t xml:space="preserve"> that the </w:t>
      </w:r>
      <w:r w:rsidR="00F12ABB" w:rsidRPr="00CA0C69">
        <w:rPr>
          <w:rFonts w:ascii="Times New Roman" w:eastAsia="TimesNewRomanPSMT" w:hAnsi="Times New Roman" w:cs="Times New Roman"/>
          <w:sz w:val="24"/>
          <w:szCs w:val="24"/>
        </w:rPr>
        <w:t>average</w:t>
      </w:r>
      <w:r w:rsidRPr="00CA0C69">
        <w:rPr>
          <w:rFonts w:ascii="Times New Roman" w:eastAsia="TimesNewRomanPSMT" w:hAnsi="Times New Roman" w:cs="Times New Roman"/>
          <w:sz w:val="24"/>
          <w:szCs w:val="24"/>
        </w:rPr>
        <w:t xml:space="preserve"> score for grade 1 (M=81.88, </w:t>
      </w:r>
      <w:r w:rsidR="00F12ABB" w:rsidRPr="00CA0C69">
        <w:rPr>
          <w:rFonts w:ascii="Times New Roman" w:eastAsia="TimesNewRomanPSMT" w:hAnsi="Times New Roman" w:cs="Times New Roman"/>
          <w:sz w:val="24"/>
          <w:szCs w:val="24"/>
        </w:rPr>
        <w:t xml:space="preserve">and </w:t>
      </w:r>
      <w:r w:rsidRPr="00CA0C69">
        <w:rPr>
          <w:rFonts w:ascii="Times New Roman" w:eastAsia="TimesNewRomanPSMT" w:hAnsi="Times New Roman" w:cs="Times New Roman"/>
          <w:sz w:val="24"/>
          <w:szCs w:val="24"/>
        </w:rPr>
        <w:t>SD=17.99) had a significant variation from grade 2 (M=84.41, SD=18.67) and</w:t>
      </w:r>
      <w:r w:rsidR="00F12ABB" w:rsidRPr="00CA0C69">
        <w:rPr>
          <w:rFonts w:ascii="Times New Roman" w:eastAsia="TimesNewRomanPSMT" w:hAnsi="Times New Roman" w:cs="Times New Roman"/>
          <w:sz w:val="24"/>
          <w:szCs w:val="24"/>
        </w:rPr>
        <w:t xml:space="preserve"> also</w:t>
      </w:r>
      <w:r w:rsidRPr="00CA0C69">
        <w:rPr>
          <w:rFonts w:ascii="Times New Roman" w:eastAsia="TimesNewRomanPSMT" w:hAnsi="Times New Roman" w:cs="Times New Roman"/>
          <w:sz w:val="24"/>
          <w:szCs w:val="24"/>
        </w:rPr>
        <w:t xml:space="preserve"> Grade 3(M=77.43, SD=17.42). Grade 1 had a major difference from Grade 2 (M=82.88, SD=19.36). The grade 1 never had major variation from 3. Likewise, grade 2 never major differences with grade 3 </w:t>
      </w:r>
      <w:r w:rsidRPr="00CA0C69">
        <w:rPr>
          <w:rFonts w:ascii="Times New Roman" w:hAnsi="Times New Roman" w:cs="Times New Roman"/>
          <w:color w:val="222222"/>
          <w:sz w:val="24"/>
          <w:szCs w:val="24"/>
          <w:shd w:val="clear" w:color="auto" w:fill="FFFFFF"/>
        </w:rPr>
        <w:t>(Bryman, 2015)</w:t>
      </w:r>
      <w:r w:rsidRPr="00CA0C69">
        <w:rPr>
          <w:rFonts w:ascii="Times New Roman" w:eastAsia="TimesNewRomanPSMT" w:hAnsi="Times New Roman" w:cs="Times New Roman"/>
          <w:sz w:val="24"/>
          <w:szCs w:val="24"/>
        </w:rPr>
        <w:t xml:space="preserve">. The average scores showed that grade 3 registered higher scores of anxiety in comparison to the anxiety in other levels of the grade. The </w:t>
      </w:r>
      <w:r w:rsidR="00531A80" w:rsidRPr="00CA0C69">
        <w:rPr>
          <w:rFonts w:ascii="Times New Roman" w:eastAsia="TimesNewRomanPSMT" w:hAnsi="Times New Roman" w:cs="Times New Roman"/>
          <w:sz w:val="24"/>
          <w:szCs w:val="24"/>
        </w:rPr>
        <w:t>respondents</w:t>
      </w:r>
      <w:r w:rsidRPr="00CA0C69">
        <w:rPr>
          <w:rFonts w:ascii="Times New Roman" w:eastAsia="TimesNewRomanPSMT" w:hAnsi="Times New Roman" w:cs="Times New Roman"/>
          <w:sz w:val="24"/>
          <w:szCs w:val="24"/>
        </w:rPr>
        <w:t xml:space="preserve"> that registered low marks in anxiety were the grade 1 </w:t>
      </w:r>
      <w:r w:rsidR="00E07D80" w:rsidRPr="00CA0C69">
        <w:rPr>
          <w:rFonts w:ascii="Times New Roman" w:eastAsia="TimesNewRomanPSMT" w:hAnsi="Times New Roman" w:cs="Times New Roman"/>
          <w:sz w:val="24"/>
          <w:szCs w:val="24"/>
        </w:rPr>
        <w:t xml:space="preserve">categories. </w:t>
      </w:r>
      <w:r w:rsidR="0015011C" w:rsidRPr="00CA0C69">
        <w:rPr>
          <w:rFonts w:ascii="Times New Roman" w:eastAsia="TimesNewRomanPSMT" w:hAnsi="Times New Roman" w:cs="Times New Roman"/>
          <w:sz w:val="24"/>
          <w:szCs w:val="24"/>
        </w:rPr>
        <w:t xml:space="preserve">The findings derived from the one tests on ANOVA and Tukey multiple </w:t>
      </w:r>
      <w:r w:rsidRPr="00CA0C69">
        <w:rPr>
          <w:rFonts w:ascii="Times New Roman" w:eastAsia="TimesNewRomanPSMT" w:hAnsi="Times New Roman" w:cs="Times New Roman"/>
          <w:sz w:val="24"/>
          <w:szCs w:val="24"/>
        </w:rPr>
        <w:t xml:space="preserve">comparisons as indicated </w:t>
      </w:r>
      <w:r w:rsidR="0015011C" w:rsidRPr="00CA0C69">
        <w:rPr>
          <w:rFonts w:ascii="Times New Roman" w:eastAsia="TimesNewRomanPSMT" w:hAnsi="Times New Roman" w:cs="Times New Roman"/>
          <w:sz w:val="24"/>
          <w:szCs w:val="24"/>
        </w:rPr>
        <w:t xml:space="preserve">in the second table below. </w:t>
      </w:r>
      <w:r w:rsidRPr="00CA0C69">
        <w:rPr>
          <w:rFonts w:ascii="Times New Roman" w:eastAsia="TimesNewRomanPSMT" w:hAnsi="Times New Roman" w:cs="Times New Roman"/>
          <w:sz w:val="24"/>
          <w:szCs w:val="24"/>
        </w:rPr>
        <w:t xml:space="preserve"> </w:t>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noProof/>
          <w:sz w:val="24"/>
          <w:szCs w:val="24"/>
        </w:rPr>
        <w:drawing>
          <wp:inline distT="0" distB="0" distL="0" distR="0">
            <wp:extent cx="5829300" cy="327660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53670" name="Picture 4"/>
                    <pic:cNvPicPr>
                      <a:picLocks noChangeAspect="1" noChangeArrowheads="1"/>
                    </pic:cNvPicPr>
                  </pic:nvPicPr>
                  <pic:blipFill>
                    <a:blip r:embed="rId8" cstate="print"/>
                    <a:stretch>
                      <a:fillRect/>
                    </a:stretch>
                  </pic:blipFill>
                  <pic:spPr bwMode="auto">
                    <a:xfrm>
                      <a:off x="0" y="0"/>
                      <a:ext cx="5829300" cy="3276600"/>
                    </a:xfrm>
                    <a:prstGeom prst="rect">
                      <a:avLst/>
                    </a:prstGeom>
                    <a:noFill/>
                    <a:ln w="9525">
                      <a:noFill/>
                      <a:miter lim="800000"/>
                      <a:headEnd/>
                      <a:tailEnd/>
                    </a:ln>
                  </pic:spPr>
                </pic:pic>
              </a:graphicData>
            </a:graphic>
          </wp:inline>
        </w:drawing>
      </w:r>
    </w:p>
    <w:p w:rsidR="00EF4C3F" w:rsidRPr="00CA0C69" w:rsidRDefault="00481ABD" w:rsidP="00CA0C69">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 xml:space="preserve">Table 2: </w:t>
      </w:r>
      <w:r w:rsidR="0015011C" w:rsidRPr="00CA0C69">
        <w:rPr>
          <w:rFonts w:ascii="Times New Roman" w:eastAsia="TimesNewRomanPSMT" w:hAnsi="Times New Roman" w:cs="Times New Roman"/>
          <w:sz w:val="24"/>
          <w:szCs w:val="24"/>
        </w:rPr>
        <w:t>findings derived from the one tests on ANOVA and Tukey multiple comparisons</w:t>
      </w:r>
    </w:p>
    <w:p w:rsidR="00EF4C3F" w:rsidRPr="00CA0C69" w:rsidRDefault="00481ABD" w:rsidP="00CA0C69">
      <w:pPr>
        <w:pStyle w:val="Heading2"/>
        <w:spacing w:line="480" w:lineRule="auto"/>
        <w:jc w:val="center"/>
        <w:rPr>
          <w:rFonts w:ascii="Times New Roman" w:eastAsia="TimesNewRomanPSMT" w:hAnsi="Times New Roman" w:cs="Times New Roman"/>
          <w:color w:val="auto"/>
          <w:sz w:val="24"/>
          <w:szCs w:val="24"/>
        </w:rPr>
      </w:pPr>
      <w:bookmarkStart w:id="8" w:name="_Toc505867631"/>
      <w:r w:rsidRPr="00CA0C69">
        <w:rPr>
          <w:rFonts w:ascii="Times New Roman" w:eastAsia="TimesNewRomanPSMT" w:hAnsi="Times New Roman" w:cs="Times New Roman"/>
          <w:color w:val="auto"/>
          <w:sz w:val="24"/>
          <w:szCs w:val="24"/>
        </w:rPr>
        <w:lastRenderedPageBreak/>
        <w:t xml:space="preserve">2.6 </w:t>
      </w:r>
      <w:r w:rsidR="00336DE8" w:rsidRPr="00CA0C69">
        <w:rPr>
          <w:rFonts w:ascii="Times New Roman" w:eastAsia="TimesNewRomanPSMT" w:hAnsi="Times New Roman" w:cs="Times New Roman"/>
          <w:iCs/>
          <w:color w:val="auto"/>
          <w:sz w:val="24"/>
          <w:szCs w:val="24"/>
        </w:rPr>
        <w:t xml:space="preserve">Scores of sustainability </w:t>
      </w:r>
      <w:r w:rsidRPr="00CA0C69">
        <w:rPr>
          <w:rFonts w:ascii="Times New Roman" w:eastAsia="TimesNewRomanPSMT" w:hAnsi="Times New Roman" w:cs="Times New Roman"/>
          <w:color w:val="auto"/>
          <w:sz w:val="24"/>
          <w:szCs w:val="24"/>
        </w:rPr>
        <w:t>based on the success</w:t>
      </w:r>
      <w:bookmarkEnd w:id="8"/>
    </w:p>
    <w:p w:rsidR="00EF4C3F" w:rsidRPr="00CA0C69" w:rsidRDefault="00481ABD" w:rsidP="00CA0C69">
      <w:pPr>
        <w:spacing w:line="480" w:lineRule="auto"/>
        <w:ind w:firstLine="720"/>
        <w:rPr>
          <w:rFonts w:ascii="Times New Roman" w:hAnsi="Times New Roman" w:cs="Times New Roman"/>
          <w:sz w:val="24"/>
          <w:szCs w:val="24"/>
        </w:rPr>
      </w:pPr>
      <w:r w:rsidRPr="00CA0C69">
        <w:rPr>
          <w:rFonts w:ascii="Times New Roman" w:eastAsia="TimesNewRomanPSMT" w:hAnsi="Times New Roman" w:cs="Times New Roman"/>
          <w:iCs/>
          <w:sz w:val="24"/>
          <w:szCs w:val="24"/>
        </w:rPr>
        <w:t>A way that offers linkage the group’s evaluation of variance was performed by</w:t>
      </w:r>
      <w:r w:rsidRPr="00CA0C69">
        <w:rPr>
          <w:rFonts w:ascii="Times New Roman" w:hAnsi="Times New Roman" w:cs="Times New Roman"/>
          <w:sz w:val="24"/>
          <w:szCs w:val="24"/>
          <w:shd w:val="clear" w:color="auto" w:fill="FFFFFF"/>
        </w:rPr>
        <w:t xml:space="preserve"> Ozgen and Bindaka (2011), </w:t>
      </w:r>
      <w:r w:rsidRPr="00CA0C69">
        <w:rPr>
          <w:rFonts w:ascii="Times New Roman" w:eastAsia="TimesNewRomanPSMT" w:hAnsi="Times New Roman" w:cs="Times New Roman"/>
          <w:iCs/>
          <w:sz w:val="24"/>
          <w:szCs w:val="24"/>
        </w:rPr>
        <w:t xml:space="preserve">for the purposes of exploring the effect of the degrees of performance </w:t>
      </w:r>
      <w:r w:rsidRPr="00CA0C69">
        <w:rPr>
          <w:rFonts w:ascii="Times New Roman" w:eastAsia="TimesNewRomanPSMT" w:hAnsi="Times New Roman" w:cs="Times New Roman"/>
          <w:sz w:val="24"/>
          <w:szCs w:val="24"/>
        </w:rPr>
        <w:t xml:space="preserve">(0–59%, 60–69%, 70–79%, 80–89%, 90–100%) on the sustainability levels as determined by the R-MANX. The assessment of the </w:t>
      </w:r>
      <w:r w:rsidR="00D510AF" w:rsidRPr="00CA0C69">
        <w:rPr>
          <w:rFonts w:ascii="Times New Roman" w:eastAsia="TimesNewRomanPSMT" w:hAnsi="Times New Roman" w:cs="Times New Roman"/>
          <w:sz w:val="24"/>
          <w:szCs w:val="24"/>
        </w:rPr>
        <w:t>respondents</w:t>
      </w:r>
      <w:r w:rsidRPr="00CA0C69">
        <w:rPr>
          <w:rFonts w:ascii="Times New Roman" w:eastAsia="TimesNewRomanPSMT" w:hAnsi="Times New Roman" w:cs="Times New Roman"/>
          <w:sz w:val="24"/>
          <w:szCs w:val="24"/>
        </w:rPr>
        <w:t xml:space="preserve"> was performed with the objective of finding out on </w:t>
      </w:r>
      <w:r w:rsidR="00D510AF" w:rsidRPr="00CA0C69">
        <w:rPr>
          <w:rFonts w:ascii="Times New Roman" w:eastAsia="TimesNewRomanPSMT" w:hAnsi="Times New Roman" w:cs="Times New Roman"/>
          <w:sz w:val="24"/>
          <w:szCs w:val="24"/>
        </w:rPr>
        <w:t xml:space="preserve">the level of </w:t>
      </w:r>
      <w:r w:rsidR="00D510AF"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sz w:val="24"/>
          <w:szCs w:val="24"/>
        </w:rPr>
        <w:t xml:space="preserve"> Consequently, they were classified into five categories or groups. The first group registered a score of 0-59% thus revealing of lack of </w:t>
      </w:r>
      <w:r w:rsidR="00D510AF"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while the second group registered a score of 60-69% that in this case showed of limited effectiveness.  The third group had a score of 70-79% thus depicting a bit of </w:t>
      </w:r>
      <w:r w:rsidR="00D510AF"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while group 4 had a registered score of 80-89% thus showing off a considerable form of </w:t>
      </w:r>
      <w:r w:rsidR="00D510AF"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The fifth group registered a score of 90 to 100% and in this regard of high rates of </w:t>
      </w:r>
      <w:r w:rsidR="00D510AF"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There was in place as identified by </w:t>
      </w:r>
      <w:r w:rsidRPr="00CA0C69">
        <w:rPr>
          <w:rFonts w:ascii="Times New Roman" w:hAnsi="Times New Roman" w:cs="Times New Roman"/>
          <w:sz w:val="24"/>
          <w:szCs w:val="24"/>
          <w:shd w:val="clear" w:color="auto" w:fill="FFFFFF"/>
        </w:rPr>
        <w:t xml:space="preserve">Karimi and Venkatesan (2009) </w:t>
      </w:r>
      <w:r w:rsidRPr="00CA0C69">
        <w:rPr>
          <w:rFonts w:ascii="Times New Roman" w:eastAsia="TimesNewRomanPSMT" w:hAnsi="Times New Roman" w:cs="Times New Roman"/>
          <w:sz w:val="24"/>
          <w:szCs w:val="24"/>
        </w:rPr>
        <w:t xml:space="preserve">statistical variation at the value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&lt; .05 level </w:t>
      </w:r>
      <w:r w:rsidR="001A5EC4" w:rsidRPr="00CA0C69">
        <w:rPr>
          <w:rFonts w:ascii="Times New Roman" w:eastAsia="TimesNewRomanPSMT" w:hAnsi="Times New Roman" w:cs="Times New Roman"/>
          <w:sz w:val="24"/>
          <w:szCs w:val="24"/>
        </w:rPr>
        <w:t>within</w:t>
      </w:r>
      <w:r w:rsidRPr="00CA0C69">
        <w:rPr>
          <w:rFonts w:ascii="Times New Roman" w:eastAsia="TimesNewRomanPSMT" w:hAnsi="Times New Roman" w:cs="Times New Roman"/>
          <w:sz w:val="24"/>
          <w:szCs w:val="24"/>
        </w:rPr>
        <w:t xml:space="preserve"> R-MANX statistics all the five successful groups: F (4, 381) = 7.23, and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.000. The impact due to size stood at 0.76, and it was determined by use of the eta squared. The effect, in this case, was taken into consideration as a medium-sized effect. Post hoc cases of comparisons by use of the Tukey HSD test showed the first group means score (M) being 2.44 and the standard deviation (SD) being 0.71 that had a major variation with the fifth group (M=1.67, SD=0.76). On the other hand, the fourth group had M=1.93, SD-=0.84 and the third group registering M=2.00 and SD=0.76. Similarly, the second group had M=2.17 and SD=0.78 that in this case had a major variation with that of the third group</w:t>
      </w:r>
      <w:r w:rsidRPr="00CA0C69">
        <w:rPr>
          <w:rFonts w:ascii="Times New Roman" w:hAnsi="Times New Roman" w:cs="Times New Roman"/>
          <w:color w:val="222222"/>
          <w:sz w:val="24"/>
          <w:szCs w:val="24"/>
          <w:shd w:val="clear" w:color="auto" w:fill="FFFFFF"/>
        </w:rPr>
        <w:t xml:space="preserve"> (Bryman, 2015)</w:t>
      </w:r>
      <w:r w:rsidRPr="00CA0C69">
        <w:rPr>
          <w:rFonts w:ascii="Times New Roman" w:eastAsia="TimesNewRomanPSMT" w:hAnsi="Times New Roman" w:cs="Times New Roman"/>
          <w:sz w:val="24"/>
          <w:szCs w:val="24"/>
        </w:rPr>
        <w:t xml:space="preserve">. The second group never had major differences from the first, third and the fourth group. Likewise, the fourth group also never had major variations from the third or the fifth group. From the Tukey test carried with the objective of determining the </w:t>
      </w:r>
      <w:r w:rsidRPr="00CA0C69">
        <w:rPr>
          <w:rFonts w:ascii="Times New Roman" w:eastAsia="TimesNewRomanPSMT" w:hAnsi="Times New Roman" w:cs="Times New Roman"/>
          <w:sz w:val="24"/>
          <w:szCs w:val="24"/>
        </w:rPr>
        <w:lastRenderedPageBreak/>
        <w:t xml:space="preserve">extent by which the variations were present, </w:t>
      </w:r>
      <w:r w:rsidR="00D510AF"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sz w:val="24"/>
          <w:szCs w:val="24"/>
        </w:rPr>
        <w:t xml:space="preserve">that low degrees of </w:t>
      </w:r>
      <w:r w:rsidR="00D510AF" w:rsidRPr="00CA0C69">
        <w:rPr>
          <w:rFonts w:ascii="Times New Roman" w:eastAsia="TimesNewRomanPSMT" w:hAnsi="Times New Roman" w:cs="Times New Roman"/>
          <w:sz w:val="24"/>
          <w:szCs w:val="24"/>
        </w:rPr>
        <w:t>sustainability i</w:t>
      </w:r>
      <w:r w:rsidRPr="00CA0C69">
        <w:rPr>
          <w:rFonts w:ascii="Times New Roman" w:eastAsia="TimesNewRomanPSMT" w:hAnsi="Times New Roman" w:cs="Times New Roman"/>
          <w:sz w:val="24"/>
          <w:szCs w:val="24"/>
        </w:rPr>
        <w:t xml:space="preserve">n the </w:t>
      </w:r>
      <w:r w:rsidR="00D510AF" w:rsidRPr="00CA0C69">
        <w:rPr>
          <w:rFonts w:ascii="Times New Roman" w:eastAsia="TimesNewRomanPSMT" w:hAnsi="Times New Roman" w:cs="Times New Roman"/>
          <w:sz w:val="24"/>
          <w:szCs w:val="24"/>
        </w:rPr>
        <w:t>market were</w:t>
      </w:r>
      <w:r w:rsidRPr="00CA0C69">
        <w:rPr>
          <w:rFonts w:ascii="Times New Roman" w:eastAsia="TimesNewRomanPSMT" w:hAnsi="Times New Roman" w:cs="Times New Roman"/>
          <w:sz w:val="24"/>
          <w:szCs w:val="24"/>
        </w:rPr>
        <w:t xml:space="preserve"> indeed high in comparison to the </w:t>
      </w:r>
      <w:r w:rsidR="00D510AF" w:rsidRPr="00CA0C69">
        <w:rPr>
          <w:rFonts w:ascii="Times New Roman" w:eastAsia="TimesNewRomanPSMT" w:hAnsi="Times New Roman" w:cs="Times New Roman"/>
          <w:sz w:val="24"/>
          <w:szCs w:val="24"/>
        </w:rPr>
        <w:t>respondents that</w:t>
      </w:r>
      <w:r w:rsidRPr="00CA0C69">
        <w:rPr>
          <w:rFonts w:ascii="Times New Roman" w:eastAsia="TimesNewRomanPSMT" w:hAnsi="Times New Roman" w:cs="Times New Roman"/>
          <w:sz w:val="24"/>
          <w:szCs w:val="24"/>
        </w:rPr>
        <w:t xml:space="preserve"> registered </w:t>
      </w:r>
      <w:r w:rsidR="00D510AF" w:rsidRPr="00CA0C69">
        <w:rPr>
          <w:rFonts w:ascii="Times New Roman" w:eastAsia="TimesNewRomanPSMT" w:hAnsi="Times New Roman" w:cs="Times New Roman"/>
          <w:sz w:val="24"/>
          <w:szCs w:val="24"/>
        </w:rPr>
        <w:t xml:space="preserve">scores in from their respective scripts. </w:t>
      </w:r>
    </w:p>
    <w:p w:rsidR="00EF4C3F" w:rsidRPr="00CA0C69" w:rsidRDefault="00481ABD" w:rsidP="00CA0C69">
      <w:pPr>
        <w:autoSpaceDE w:val="0"/>
        <w:autoSpaceDN w:val="0"/>
        <w:adjustRightInd w:val="0"/>
        <w:spacing w:after="0"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2.7</w:t>
      </w:r>
      <w:r w:rsidR="00566083" w:rsidRPr="00CA0C69">
        <w:rPr>
          <w:rFonts w:ascii="Times New Roman" w:hAnsi="Times New Roman" w:cs="Times New Roman"/>
          <w:b/>
          <w:sz w:val="24"/>
          <w:szCs w:val="24"/>
        </w:rPr>
        <w:t xml:space="preserve"> Ethical Considerations</w:t>
      </w:r>
    </w:p>
    <w:p w:rsidR="00EF4C3F" w:rsidRPr="00CA0C69" w:rsidRDefault="00481ABD" w:rsidP="00CA0C69">
      <w:pPr>
        <w:spacing w:after="0" w:line="480" w:lineRule="auto"/>
        <w:ind w:firstLine="720"/>
        <w:jc w:val="both"/>
        <w:rPr>
          <w:rFonts w:ascii="Times New Roman" w:eastAsia="Times New Roman" w:hAnsi="Times New Roman" w:cs="Times New Roman"/>
          <w:sz w:val="24"/>
          <w:szCs w:val="24"/>
        </w:rPr>
      </w:pPr>
      <w:r w:rsidRPr="00CA0C69">
        <w:rPr>
          <w:rFonts w:ascii="Times New Roman" w:hAnsi="Times New Roman" w:cs="Times New Roman"/>
          <w:color w:val="222222"/>
          <w:sz w:val="24"/>
          <w:szCs w:val="24"/>
          <w:shd w:val="clear" w:color="auto" w:fill="FFFFFF"/>
        </w:rPr>
        <w:t xml:space="preserve">Smith, (2015) </w:t>
      </w:r>
      <w:r w:rsidRPr="00CA0C69">
        <w:rPr>
          <w:rFonts w:ascii="Times New Roman" w:hAnsi="Times New Roman" w:cs="Times New Roman"/>
          <w:sz w:val="24"/>
          <w:szCs w:val="24"/>
          <w:shd w:val="clear" w:color="auto" w:fill="FFFFFF"/>
        </w:rPr>
        <w:t>found out that t</w:t>
      </w:r>
      <w:r w:rsidRPr="00CA0C69">
        <w:rPr>
          <w:rFonts w:ascii="Times New Roman" w:eastAsia="Times New Roman" w:hAnsi="Times New Roman" w:cs="Times New Roman"/>
          <w:sz w:val="24"/>
          <w:szCs w:val="24"/>
        </w:rPr>
        <w:t xml:space="preserve">his review should note the below issues that it encountered so that it can evade them in future for studies covering the same topic or field; </w:t>
      </w:r>
    </w:p>
    <w:p w:rsidR="00EF4C3F" w:rsidRPr="00CA0C69" w:rsidRDefault="00481ABD" w:rsidP="00CA0C69">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The type of the method is very subjective in determining the studies that need to be used for analysis and drawing of a conclusion</w:t>
      </w:r>
    </w:p>
    <w:p w:rsidR="00EF4C3F" w:rsidRPr="00CA0C69" w:rsidRDefault="00481ABD" w:rsidP="00CA0C69">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The likely of misleading in arriving at conclusions due to biases, failure for the consideration of the relationships connecting the study and outcomes</w:t>
      </w:r>
    </w:p>
    <w:p w:rsidR="00E07D80" w:rsidRPr="00CA0C69" w:rsidRDefault="00481ABD" w:rsidP="00CA0C69">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 xml:space="preserve">The problem in the determination and the integration of the complicated interactions  where there is involvement of large varieties of studies </w:t>
      </w:r>
    </w:p>
    <w:p w:rsidR="00E07D80" w:rsidRPr="00CA0C69" w:rsidRDefault="00E07D80" w:rsidP="00CA0C69">
      <w:pPr>
        <w:spacing w:after="0" w:line="480" w:lineRule="auto"/>
        <w:jc w:val="both"/>
        <w:rPr>
          <w:rFonts w:ascii="Times New Roman" w:eastAsia="Times New Roman" w:hAnsi="Times New Roman" w:cs="Times New Roman"/>
          <w:sz w:val="24"/>
          <w:szCs w:val="24"/>
        </w:rPr>
      </w:pPr>
    </w:p>
    <w:p w:rsidR="00CA0C69" w:rsidRDefault="00CA0C69" w:rsidP="00CA0C69">
      <w:pPr>
        <w:spacing w:line="480" w:lineRule="auto"/>
        <w:jc w:val="center"/>
        <w:rPr>
          <w:rFonts w:ascii="Times New Roman" w:hAnsi="Times New Roman" w:cs="Times New Roman"/>
          <w:b/>
          <w:sz w:val="24"/>
          <w:szCs w:val="24"/>
        </w:rPr>
      </w:pPr>
    </w:p>
    <w:p w:rsidR="003C5547" w:rsidRPr="00CA0C69" w:rsidRDefault="00481ABD" w:rsidP="00CA0C69">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3.0 DISCUSSION</w:t>
      </w:r>
    </w:p>
    <w:p w:rsidR="003C5547" w:rsidRPr="00CA0C69" w:rsidRDefault="00481ABD" w:rsidP="00CA0C69">
      <w:pPr>
        <w:autoSpaceDE w:val="0"/>
        <w:autoSpaceDN w:val="0"/>
        <w:adjustRightInd w:val="0"/>
        <w:spacing w:after="0" w:line="480" w:lineRule="auto"/>
        <w:jc w:val="center"/>
        <w:rPr>
          <w:rFonts w:ascii="Times New Roman" w:hAnsi="Times New Roman" w:cs="Times New Roman"/>
          <w:b/>
          <w:color w:val="000000"/>
          <w:sz w:val="24"/>
          <w:szCs w:val="24"/>
        </w:rPr>
      </w:pPr>
      <w:r w:rsidRPr="00CA0C69">
        <w:rPr>
          <w:rFonts w:ascii="Times New Roman" w:hAnsi="Times New Roman" w:cs="Times New Roman"/>
          <w:b/>
          <w:color w:val="000000"/>
          <w:sz w:val="24"/>
          <w:szCs w:val="24"/>
        </w:rPr>
        <w:t>3.1 Introduction</w:t>
      </w:r>
    </w:p>
    <w:p w:rsidR="003C5547"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Saudi Arabia is very popular in the world as the biggest manufacturer and supplier of oil. For several years before the period of the 1970s, very many cases related to gas by-products which were manufactured during processing of crude of oil had been had undergone through flare within the atmosphere</w:t>
      </w:r>
      <w:r w:rsidRPr="00CA0C69">
        <w:rPr>
          <w:rFonts w:ascii="Times New Roman" w:hAnsi="Times New Roman" w:cs="Times New Roman"/>
          <w:color w:val="222222"/>
          <w:sz w:val="24"/>
          <w:szCs w:val="24"/>
          <w:shd w:val="clear" w:color="auto" w:fill="FFFFFF"/>
        </w:rPr>
        <w:t xml:space="preserve"> (Silvestre, 2015).</w:t>
      </w:r>
      <w:r w:rsidRPr="00CA0C69">
        <w:rPr>
          <w:rFonts w:ascii="Times New Roman" w:hAnsi="Times New Roman" w:cs="Times New Roman"/>
          <w:color w:val="000000"/>
          <w:sz w:val="24"/>
          <w:szCs w:val="24"/>
        </w:rPr>
        <w:t xml:space="preserve"> However, during the period of the 1970s, the government of Saudi Arabia started a plan of utilizing these valuable hydrocarbon products and mineral resources for the manufacturing of several petrochemicals, steel, fertilizers, and iron. In </w:t>
      </w:r>
      <w:r w:rsidRPr="00CA0C69">
        <w:rPr>
          <w:rFonts w:ascii="Times New Roman" w:hAnsi="Times New Roman" w:cs="Times New Roman"/>
          <w:color w:val="000000"/>
          <w:sz w:val="24"/>
          <w:szCs w:val="24"/>
        </w:rPr>
        <w:lastRenderedPageBreak/>
        <w:t xml:space="preserve">the world, Saudi Arabia has close to five percent of the production of the petrochemicals in the world. Regardless of this, Saudi remains the biggest producer of Methyl Tertiary Butyl Ether (MTBE). Likewise, the country also has a bigger share in the market in the methanol production; that is close to 12% and glycol standing at 14%.  The domestic consumption the country is very low because of the market size that is very small </w:t>
      </w:r>
      <w:r w:rsidRPr="00CA0C69">
        <w:rPr>
          <w:rFonts w:ascii="Times New Roman" w:hAnsi="Times New Roman" w:cs="Times New Roman"/>
          <w:color w:val="222222"/>
          <w:sz w:val="24"/>
          <w:szCs w:val="24"/>
          <w:shd w:val="clear" w:color="auto" w:fill="FFFFFF"/>
        </w:rPr>
        <w:t>(Silvestre, 2015)</w:t>
      </w:r>
      <w:r w:rsidRPr="00CA0C69">
        <w:rPr>
          <w:rFonts w:ascii="Times New Roman" w:hAnsi="Times New Roman" w:cs="Times New Roman"/>
          <w:color w:val="000000"/>
          <w:sz w:val="24"/>
          <w:szCs w:val="24"/>
        </w:rPr>
        <w:t>. The industry has been classified as exported based type of strategy because of the much portion of it being dominated by the production of petrochemicals for exportation. The two principle markets for the petrochemical exports from Saudi are the East Asian and Middle East regions. With the country heading towards trading activities with the WTO, there is an expectation of this to offer gradual enhancement of the competitiveness of the Saudi's industry in charge of petrochemicals and thus to lead to the strengthening of its position in the market.  There is also the likelihood that it will lead to the improvement in the accessibility of the markets of Japan and Europe.</w:t>
      </w:r>
    </w:p>
    <w:p w:rsidR="003C5547" w:rsidRPr="00CA0C69" w:rsidRDefault="00481ABD" w:rsidP="00CA0C69">
      <w:p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main strength of the industrial supply companies is the second feed-stocks and the utilities. Despite this leading to the average cost being low in comparison to those set by the competitors, the average fixed costs are still low in comparison to that of the competitors because of the large supply scale</w:t>
      </w:r>
      <w:r w:rsidRPr="00CA0C69">
        <w:rPr>
          <w:rFonts w:ascii="Times New Roman" w:hAnsi="Times New Roman" w:cs="Times New Roman"/>
          <w:color w:val="222222"/>
          <w:sz w:val="24"/>
          <w:szCs w:val="24"/>
          <w:shd w:val="clear" w:color="auto" w:fill="FFFFFF"/>
        </w:rPr>
        <w:t xml:space="preserve"> (Mouzughi, Bryde &amp; Al-Shaer, 2014)</w:t>
      </w:r>
      <w:r w:rsidRPr="00CA0C69">
        <w:rPr>
          <w:rFonts w:ascii="Times New Roman" w:hAnsi="Times New Roman" w:cs="Times New Roman"/>
          <w:color w:val="000000"/>
          <w:sz w:val="24"/>
          <w:szCs w:val="24"/>
        </w:rPr>
        <w:t>. Other competitive advantages include the capital cost that is a bit low in comparison to the low initial cost and the availability of the efficiency of the infrastructure. Significant competitive forms of disadvantages include the unavailability of the technological knowledge and skills from the side of the personnel. Activities associated with research and development is also affected due to this. Added to the same, most firms do not have the expertise in management needed by in the market. Other forms of weakness are the approach in marketing, product development, and provision of the technology-based support.</w:t>
      </w:r>
    </w:p>
    <w:p w:rsidR="003C5547" w:rsidRPr="00CA0C69" w:rsidRDefault="003C5547" w:rsidP="00CA0C69">
      <w:pPr>
        <w:autoSpaceDE w:val="0"/>
        <w:autoSpaceDN w:val="0"/>
        <w:adjustRightInd w:val="0"/>
        <w:spacing w:after="0" w:line="480" w:lineRule="auto"/>
        <w:rPr>
          <w:rFonts w:ascii="Times New Roman" w:hAnsi="Times New Roman" w:cs="Times New Roman"/>
          <w:color w:val="000000"/>
          <w:sz w:val="24"/>
          <w:szCs w:val="24"/>
        </w:rPr>
      </w:pPr>
    </w:p>
    <w:p w:rsidR="00BC3977" w:rsidRPr="00CA0C69" w:rsidRDefault="00BC3977" w:rsidP="00CA0C69">
      <w:pPr>
        <w:autoSpaceDE w:val="0"/>
        <w:autoSpaceDN w:val="0"/>
        <w:adjustRightInd w:val="0"/>
        <w:spacing w:after="0" w:line="480" w:lineRule="auto"/>
        <w:rPr>
          <w:rFonts w:ascii="Times New Roman" w:hAnsi="Times New Roman" w:cs="Times New Roman"/>
          <w:color w:val="000000"/>
          <w:sz w:val="24"/>
          <w:szCs w:val="24"/>
        </w:rPr>
      </w:pPr>
    </w:p>
    <w:p w:rsidR="003C5547" w:rsidRPr="00CA0C69" w:rsidRDefault="00481ABD" w:rsidP="00CA0C69">
      <w:pPr>
        <w:autoSpaceDE w:val="0"/>
        <w:autoSpaceDN w:val="0"/>
        <w:adjustRightInd w:val="0"/>
        <w:spacing w:after="0" w:line="480" w:lineRule="auto"/>
        <w:rPr>
          <w:rFonts w:ascii="Times New Roman" w:hAnsi="Times New Roman" w:cs="Times New Roman"/>
          <w:b/>
          <w:iCs/>
          <w:color w:val="000000"/>
          <w:sz w:val="24"/>
          <w:szCs w:val="24"/>
        </w:rPr>
      </w:pPr>
      <w:r w:rsidRPr="00CA0C69">
        <w:rPr>
          <w:rFonts w:ascii="Times New Roman" w:hAnsi="Times New Roman" w:cs="Times New Roman"/>
          <w:b/>
          <w:iCs/>
          <w:color w:val="000000"/>
          <w:sz w:val="24"/>
          <w:szCs w:val="24"/>
        </w:rPr>
        <w:t>3.2 Saudi Basic Industries Corporation (SABIC) as a significant player in the Saudi market</w:t>
      </w:r>
    </w:p>
    <w:p w:rsidR="003C5547" w:rsidRPr="00CA0C69" w:rsidRDefault="003C5547" w:rsidP="00CA0C69">
      <w:pPr>
        <w:autoSpaceDE w:val="0"/>
        <w:autoSpaceDN w:val="0"/>
        <w:adjustRightInd w:val="0"/>
        <w:spacing w:after="0" w:line="480" w:lineRule="auto"/>
        <w:rPr>
          <w:rFonts w:ascii="Times New Roman" w:hAnsi="Times New Roman" w:cs="Times New Roman"/>
          <w:color w:val="000000"/>
          <w:sz w:val="24"/>
          <w:szCs w:val="24"/>
        </w:rPr>
      </w:pPr>
    </w:p>
    <w:p w:rsidR="003C5547"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SABIC was formed in the year 1976 following the intention of the government to make use of the hydrocarbon and mineral resources that were undergoing waste after the process of oil from its crude status. The very first priority by the Saudi industrial supply companies was the development of firm that could undertake the exploitation of the abundant resources on hydrocarbons in the country that include the petrochemicals and fertilizers</w:t>
      </w:r>
      <w:r w:rsidRPr="00CA0C69">
        <w:rPr>
          <w:rFonts w:ascii="Times New Roman" w:hAnsi="Times New Roman" w:cs="Times New Roman"/>
          <w:color w:val="222222"/>
          <w:sz w:val="24"/>
          <w:szCs w:val="24"/>
          <w:shd w:val="clear" w:color="auto" w:fill="FFFFFF"/>
        </w:rPr>
        <w:t xml:space="preserve"> (Hammond, 2000)</w:t>
      </w:r>
      <w:r w:rsidRPr="00CA0C69">
        <w:rPr>
          <w:rFonts w:ascii="Times New Roman" w:hAnsi="Times New Roman" w:cs="Times New Roman"/>
          <w:color w:val="000000"/>
          <w:sz w:val="24"/>
          <w:szCs w:val="24"/>
        </w:rPr>
        <w:t xml:space="preserve">. Despite the SABIC having proceeded into broadening its operations to factor in certain industrial operations, petrochemicals still form the prime business taking place in the country. Based on the nature of the petrochemical industry that entails the various related industrial supply firms, the strategy used by the SABIC has been in establishing the production subsidiaries for consolidating the activities associated with procurement. Overall, SABIC is endowed with sixteen production subsidiaries that most were started since the period of the 1980s, nine that are engaged in the production of the chemicals or the petrochemicals, the involved in the production of fertilizers, two producing steel and iron and the remaining one producing polyester and the industrial gas </w:t>
      </w:r>
      <w:r w:rsidRPr="00CA0C69">
        <w:rPr>
          <w:rFonts w:ascii="Times New Roman" w:hAnsi="Times New Roman" w:cs="Times New Roman"/>
          <w:color w:val="222222"/>
          <w:sz w:val="24"/>
          <w:szCs w:val="24"/>
          <w:shd w:val="clear" w:color="auto" w:fill="FFFFFF"/>
        </w:rPr>
        <w:t>(Silvestre, 2015).</w:t>
      </w:r>
      <w:r w:rsidRPr="00CA0C69">
        <w:rPr>
          <w:rFonts w:ascii="Times New Roman" w:hAnsi="Times New Roman" w:cs="Times New Roman"/>
          <w:color w:val="000000"/>
          <w:sz w:val="24"/>
          <w:szCs w:val="24"/>
        </w:rPr>
        <w:t xml:space="preserve">  Many plants involved in the petrochemical production were established as joint ventures with the foreign-based companies. Following the growth and the development of the Saudi's industrial supply firms, subsidiaries associated with the SABIC has on the other hand also been experiencing growth. An expectation is that by the clock of the third millennium, SABIC will end up being one of the biggest suppliers of the petrochemicals.  </w:t>
      </w:r>
    </w:p>
    <w:p w:rsidR="00BC3977" w:rsidRPr="00CA0C69" w:rsidRDefault="00BC3977" w:rsidP="00CA0C69">
      <w:pPr>
        <w:autoSpaceDE w:val="0"/>
        <w:autoSpaceDN w:val="0"/>
        <w:adjustRightInd w:val="0"/>
        <w:spacing w:after="0" w:line="480" w:lineRule="auto"/>
        <w:rPr>
          <w:rFonts w:ascii="Times New Roman" w:hAnsi="Times New Roman" w:cs="Times New Roman"/>
          <w:b/>
          <w:color w:val="FFFFFF"/>
          <w:sz w:val="24"/>
          <w:szCs w:val="24"/>
        </w:rPr>
      </w:pPr>
    </w:p>
    <w:p w:rsidR="003C5547" w:rsidRPr="00CA0C69" w:rsidRDefault="00481ABD" w:rsidP="00CA0C69">
      <w:pPr>
        <w:autoSpaceDE w:val="0"/>
        <w:autoSpaceDN w:val="0"/>
        <w:adjustRightInd w:val="0"/>
        <w:spacing w:after="0" w:line="480" w:lineRule="auto"/>
        <w:jc w:val="center"/>
        <w:rPr>
          <w:rFonts w:ascii="Times New Roman" w:hAnsi="Times New Roman" w:cs="Times New Roman"/>
          <w:b/>
          <w:iCs/>
          <w:sz w:val="24"/>
          <w:szCs w:val="24"/>
        </w:rPr>
      </w:pPr>
      <w:r w:rsidRPr="00CA0C69">
        <w:rPr>
          <w:rFonts w:ascii="Times New Roman" w:hAnsi="Times New Roman" w:cs="Times New Roman"/>
          <w:b/>
          <w:color w:val="FFFFFF"/>
          <w:sz w:val="24"/>
          <w:szCs w:val="24"/>
        </w:rPr>
        <w:lastRenderedPageBreak/>
        <w:t>2</w:t>
      </w:r>
      <w:r w:rsidRPr="00CA0C69">
        <w:rPr>
          <w:rFonts w:ascii="Times New Roman" w:hAnsi="Times New Roman" w:cs="Times New Roman"/>
          <w:b/>
          <w:iCs/>
          <w:sz w:val="24"/>
          <w:szCs w:val="24"/>
        </w:rPr>
        <w:t xml:space="preserve"> 3.2 Other firms within the Saudi’s Industrial Supply Chain</w:t>
      </w:r>
    </w:p>
    <w:p w:rsidR="003C5547" w:rsidRPr="00CA0C69" w:rsidRDefault="003C5547" w:rsidP="00CA0C69">
      <w:pPr>
        <w:autoSpaceDE w:val="0"/>
        <w:autoSpaceDN w:val="0"/>
        <w:adjustRightInd w:val="0"/>
        <w:spacing w:after="0" w:line="480" w:lineRule="auto"/>
        <w:rPr>
          <w:rFonts w:ascii="Times New Roman" w:hAnsi="Times New Roman" w:cs="Times New Roman"/>
          <w:b/>
          <w:iCs/>
          <w:sz w:val="24"/>
          <w:szCs w:val="24"/>
        </w:rPr>
      </w:pPr>
    </w:p>
    <w:p w:rsidR="003C5547" w:rsidRPr="00CA0C69" w:rsidRDefault="00481ABD" w:rsidP="00CA0C69">
      <w:pPr>
        <w:autoSpaceDE w:val="0"/>
        <w:autoSpaceDN w:val="0"/>
        <w:adjustRightInd w:val="0"/>
        <w:spacing w:after="0" w:line="480" w:lineRule="auto"/>
        <w:ind w:firstLine="720"/>
        <w:rPr>
          <w:rFonts w:ascii="Times New Roman" w:hAnsi="Times New Roman" w:cs="Times New Roman"/>
          <w:iCs/>
          <w:sz w:val="24"/>
          <w:szCs w:val="24"/>
        </w:rPr>
      </w:pPr>
      <w:r w:rsidRPr="00CA0C69">
        <w:rPr>
          <w:rFonts w:ascii="Times New Roman" w:hAnsi="Times New Roman" w:cs="Times New Roman"/>
          <w:iCs/>
          <w:sz w:val="24"/>
          <w:szCs w:val="24"/>
        </w:rPr>
        <w:t>Apart from SABIC, the Saudi's Industrial Supply consists of various small actors in the private-based sector. All these are the Alujain Corp’s Acrylonitrile Plant that is a joint corporation of the Alujain Corp from Saudi Arabia and Indian Petrochemical Corp. The group also has intentions of building a major plant for the production of the environmental favorable gasoline type of additive MTBE</w:t>
      </w:r>
      <w:r w:rsidRPr="00CA0C69">
        <w:rPr>
          <w:rFonts w:ascii="Times New Roman" w:hAnsi="Times New Roman" w:cs="Times New Roman"/>
          <w:color w:val="222222"/>
          <w:sz w:val="24"/>
          <w:szCs w:val="24"/>
          <w:shd w:val="clear" w:color="auto" w:fill="FFFFFF"/>
        </w:rPr>
        <w:t xml:space="preserve"> (Hammond, 2000)</w:t>
      </w:r>
      <w:r w:rsidRPr="00CA0C69">
        <w:rPr>
          <w:rFonts w:ascii="Times New Roman" w:hAnsi="Times New Roman" w:cs="Times New Roman"/>
          <w:iCs/>
          <w:sz w:val="24"/>
          <w:szCs w:val="24"/>
        </w:rPr>
        <w:t>. The next plant that also falls in the private-based sector is the Saudi Binladen Group that entered into an agreement with China National Technical Import Corp for studying the feasibility on the construction of bigger scale fertilizer plant in the region of Al-Jubail. The partners predict of a plant that is capable of producing 330tt/y of ammonia and another 570tt/y of urea, with a section of the 50% of the output set for the market of the Chinese.</w:t>
      </w:r>
    </w:p>
    <w:p w:rsidR="003C5547" w:rsidRPr="00CA0C69" w:rsidRDefault="00481ABD" w:rsidP="0057397A">
      <w:pPr>
        <w:autoSpaceDE w:val="0"/>
        <w:autoSpaceDN w:val="0"/>
        <w:adjustRightInd w:val="0"/>
        <w:spacing w:after="0" w:line="480" w:lineRule="auto"/>
        <w:ind w:firstLine="720"/>
        <w:rPr>
          <w:rFonts w:ascii="Times New Roman" w:hAnsi="Times New Roman" w:cs="Times New Roman"/>
          <w:iCs/>
          <w:sz w:val="24"/>
          <w:szCs w:val="24"/>
        </w:rPr>
      </w:pPr>
      <w:r w:rsidRPr="00CA0C69">
        <w:rPr>
          <w:rFonts w:ascii="Times New Roman" w:hAnsi="Times New Roman" w:cs="Times New Roman"/>
          <w:iCs/>
          <w:sz w:val="24"/>
          <w:szCs w:val="24"/>
        </w:rPr>
        <w:t xml:space="preserve">Saudi Urethane has been operating a polyols plant situated in Jubail from the year 1986. Currently, the firm is under the ownership of Saudi Albabtain Group to a tune of 65% plus other smaller holdings by the Synthesis Espanol and Upjohn Polymer </w:t>
      </w:r>
      <w:r w:rsidRPr="00CA0C69">
        <w:rPr>
          <w:rFonts w:ascii="Times New Roman" w:hAnsi="Times New Roman" w:cs="Times New Roman"/>
          <w:color w:val="222222"/>
          <w:sz w:val="24"/>
          <w:szCs w:val="24"/>
          <w:shd w:val="clear" w:color="auto" w:fill="FFFFFF"/>
        </w:rPr>
        <w:t>(Hammond, 2000)</w:t>
      </w:r>
      <w:r w:rsidRPr="00CA0C69">
        <w:rPr>
          <w:rFonts w:ascii="Times New Roman" w:hAnsi="Times New Roman" w:cs="Times New Roman"/>
          <w:iCs/>
          <w:sz w:val="24"/>
          <w:szCs w:val="24"/>
        </w:rPr>
        <w:t xml:space="preserve">. The Arabian Chemical Co has been engaged in the production of new polystyrene in Jeddah from the year 1986. The firm entails cooperation of the E.A Jaffali from Saudi Arabia and Dow Chemical. </w:t>
      </w:r>
    </w:p>
    <w:p w:rsidR="003C5547" w:rsidRPr="00CA0C69" w:rsidRDefault="003C5547" w:rsidP="00CA0C69">
      <w:pPr>
        <w:autoSpaceDE w:val="0"/>
        <w:autoSpaceDN w:val="0"/>
        <w:adjustRightInd w:val="0"/>
        <w:spacing w:after="0" w:line="480" w:lineRule="auto"/>
        <w:rPr>
          <w:rFonts w:ascii="Times New Roman" w:hAnsi="Times New Roman" w:cs="Times New Roman"/>
          <w:color w:val="FFFFFF"/>
          <w:sz w:val="24"/>
          <w:szCs w:val="24"/>
        </w:rPr>
      </w:pPr>
    </w:p>
    <w:p w:rsidR="003C5547" w:rsidRPr="00CA0C69" w:rsidRDefault="00481ABD" w:rsidP="00CA0C69">
      <w:pPr>
        <w:autoSpaceDE w:val="0"/>
        <w:autoSpaceDN w:val="0"/>
        <w:adjustRightInd w:val="0"/>
        <w:spacing w:after="0" w:line="480" w:lineRule="auto"/>
        <w:jc w:val="center"/>
        <w:rPr>
          <w:rFonts w:ascii="Times New Roman" w:hAnsi="Times New Roman" w:cs="Times New Roman"/>
          <w:b/>
          <w:bCs/>
          <w:color w:val="000000"/>
          <w:sz w:val="24"/>
          <w:szCs w:val="24"/>
        </w:rPr>
      </w:pPr>
      <w:r w:rsidRPr="00CA0C69">
        <w:rPr>
          <w:rFonts w:ascii="Times New Roman" w:hAnsi="Times New Roman" w:cs="Times New Roman"/>
          <w:b/>
          <w:bCs/>
          <w:color w:val="000000"/>
          <w:sz w:val="24"/>
          <w:szCs w:val="24"/>
        </w:rPr>
        <w:t>3.3 Industry Analysis</w:t>
      </w:r>
    </w:p>
    <w:p w:rsidR="003C5547"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The strategy of competition need</w:t>
      </w:r>
      <w:r w:rsidR="003368FB" w:rsidRPr="00CA0C69">
        <w:rPr>
          <w:rFonts w:ascii="Times New Roman" w:hAnsi="Times New Roman" w:cs="Times New Roman"/>
          <w:color w:val="000000"/>
          <w:sz w:val="24"/>
          <w:szCs w:val="24"/>
        </w:rPr>
        <w:t>s</w:t>
      </w:r>
      <w:r w:rsidRPr="00CA0C69">
        <w:rPr>
          <w:rFonts w:ascii="Times New Roman" w:hAnsi="Times New Roman" w:cs="Times New Roman"/>
          <w:color w:val="000000"/>
          <w:sz w:val="24"/>
          <w:szCs w:val="24"/>
        </w:rPr>
        <w:t xml:space="preserve"> to rely on the in-depth evaluation of the industry’s structure and it its evolution as well</w:t>
      </w:r>
      <w:r w:rsidRPr="00CA0C69">
        <w:rPr>
          <w:rFonts w:ascii="Times New Roman" w:hAnsi="Times New Roman" w:cs="Times New Roman"/>
          <w:color w:val="222222"/>
          <w:sz w:val="24"/>
          <w:szCs w:val="24"/>
          <w:shd w:val="clear" w:color="auto" w:fill="FFFFFF"/>
        </w:rPr>
        <w:t xml:space="preserve"> (Drioli &amp; Romano, 2001)</w:t>
      </w:r>
      <w:r w:rsidRPr="00CA0C69">
        <w:rPr>
          <w:rFonts w:ascii="Times New Roman" w:hAnsi="Times New Roman" w:cs="Times New Roman"/>
          <w:color w:val="000000"/>
          <w:sz w:val="24"/>
          <w:szCs w:val="24"/>
        </w:rPr>
        <w:t xml:space="preserve">. The five forces model for analyzing the competitive game within the industry; a nation or worldwide is as present in figure 1. Porter's model of competitive force is one of the renowned business strategic equipment and </w:t>
      </w:r>
      <w:r w:rsidRPr="00CA0C69">
        <w:rPr>
          <w:rFonts w:ascii="Times New Roman" w:hAnsi="Times New Roman" w:cs="Times New Roman"/>
          <w:color w:val="000000"/>
          <w:sz w:val="24"/>
          <w:szCs w:val="24"/>
        </w:rPr>
        <w:lastRenderedPageBreak/>
        <w:t xml:space="preserve">has emerged to be useful on many occasions. The five forces model may be regarded part of the dimensions in the maximization of the corporate value creation. Porter's five forces model refers to internal unit strategic equipment used in the business for analyzing the attraction of the structure of the industry. The competitive force gives an evaluation for identifying the five major competitive forces;  </w:t>
      </w:r>
    </w:p>
    <w:p w:rsidR="003C5547" w:rsidRPr="00CA0C69" w:rsidRDefault="00481ABD" w:rsidP="00CA0C69">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entry of the competitors (the ease with which the new entrants can bring competition and the existing barriers</w:t>
      </w:r>
    </w:p>
    <w:p w:rsidR="003C5547" w:rsidRPr="00CA0C69" w:rsidRDefault="00481ABD" w:rsidP="00CA0C69">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threat of substitutes (the ease by which products or services may undergo substitution specifically in a more a cheap manner)</w:t>
      </w:r>
    </w:p>
    <w:p w:rsidR="003C5547" w:rsidRPr="00CA0C69" w:rsidRDefault="00481ABD" w:rsidP="00CA0C69">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power of bargaining from buyers ( the extent or the position held by buyers, whether  they can cooperate or make an order for bigger volumes)</w:t>
      </w:r>
    </w:p>
    <w:p w:rsidR="003C5547" w:rsidRPr="00CA0C69" w:rsidRDefault="00481ABD" w:rsidP="00CA0C69">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power of bargaining from the suppliers (the position held by the sellers, presence of many or few possible suppliers or if there is a monopoly)</w:t>
      </w:r>
    </w:p>
    <w:p w:rsidR="003C5547" w:rsidRPr="00CA0C69" w:rsidRDefault="00481ABD" w:rsidP="00CA0C69">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The presence of rivalry among the present players or strong competition among the players who are still existing or whether there is a dominant player or both having the same strengths </w:t>
      </w:r>
    </w:p>
    <w:p w:rsidR="003C5547" w:rsidRPr="00CA0C69" w:rsidRDefault="00481ABD" w:rsidP="00CA0C69">
      <w:pPr>
        <w:autoSpaceDE w:val="0"/>
        <w:autoSpaceDN w:val="0"/>
        <w:adjustRightInd w:val="0"/>
        <w:spacing w:after="0" w:line="480" w:lineRule="auto"/>
        <w:rPr>
          <w:rFonts w:ascii="Times New Roman" w:hAnsi="Times New Roman" w:cs="Times New Roman"/>
          <w:color w:val="FFFFFF"/>
          <w:sz w:val="24"/>
          <w:szCs w:val="24"/>
        </w:rPr>
      </w:pPr>
      <w:r w:rsidRPr="00CA0C69">
        <w:rPr>
          <w:rFonts w:ascii="Times New Roman" w:hAnsi="Times New Roman" w:cs="Times New Roman"/>
          <w:color w:val="FFFFFF"/>
          <w:sz w:val="24"/>
          <w:szCs w:val="24"/>
        </w:rPr>
        <w:t>111</w:t>
      </w:r>
    </w:p>
    <w:p w:rsidR="003C5547" w:rsidRPr="00CA0C69" w:rsidRDefault="00481ABD" w:rsidP="00CA0C69">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iCs/>
          <w:color w:val="000000"/>
          <w:sz w:val="24"/>
          <w:szCs w:val="24"/>
        </w:rPr>
        <w:t xml:space="preserve">The actions played by the above forces help in the determination of the long duration of the profit generated in any industry. Also, the intensity of the five forces is dictated by the industry’s structure since each of them has its specific structure. By using this model, this section gives the structural evaluation of the </w:t>
      </w:r>
      <w:r w:rsidRPr="00CA0C69">
        <w:rPr>
          <w:rFonts w:ascii="Times New Roman" w:hAnsi="Times New Roman" w:cs="Times New Roman"/>
          <w:sz w:val="24"/>
          <w:szCs w:val="24"/>
        </w:rPr>
        <w:t>sustainability of industrial supply companies in a saturated market concerning Saudi Arabia</w:t>
      </w:r>
      <w:r w:rsidRPr="00CA0C69">
        <w:rPr>
          <w:rFonts w:ascii="Times New Roman" w:hAnsi="Times New Roman" w:cs="Times New Roman"/>
          <w:color w:val="222222"/>
          <w:sz w:val="24"/>
          <w:szCs w:val="24"/>
          <w:shd w:val="clear" w:color="auto" w:fill="FFFFFF"/>
        </w:rPr>
        <w:t xml:space="preserve"> (Crane &amp; Matten, 2016).</w:t>
      </w:r>
      <w:r w:rsidRPr="00CA0C69">
        <w:rPr>
          <w:rFonts w:ascii="Times New Roman" w:hAnsi="Times New Roman" w:cs="Times New Roman"/>
          <w:sz w:val="24"/>
          <w:szCs w:val="24"/>
        </w:rPr>
        <w:t xml:space="preserve"> The attraction of the industrial supply firms and the investors are very high due to the added value produced in the industry, the </w:t>
      </w:r>
      <w:r w:rsidRPr="00CA0C69">
        <w:rPr>
          <w:rFonts w:ascii="Times New Roman" w:hAnsi="Times New Roman" w:cs="Times New Roman"/>
          <w:sz w:val="24"/>
          <w:szCs w:val="24"/>
        </w:rPr>
        <w:lastRenderedPageBreak/>
        <w:t xml:space="preserve">feedstock cost that is a bit low about the cost of the end product. Addition of the value does not imply the profitability since there is another various another cost above the costs of the raw materials.  Also, there are many other costs apart from labour and the utility of energy that are indeed substantial. In this regard, they include the marketing, cost of transportation and overheads </w:t>
      </w:r>
      <w:r w:rsidRPr="00CA0C69">
        <w:rPr>
          <w:rFonts w:ascii="Times New Roman" w:hAnsi="Times New Roman" w:cs="Times New Roman"/>
          <w:color w:val="222222"/>
          <w:sz w:val="24"/>
          <w:szCs w:val="24"/>
          <w:shd w:val="clear" w:color="auto" w:fill="FFFFFF"/>
        </w:rPr>
        <w:t>(Crane &amp; Matten, 2016).</w:t>
      </w:r>
      <w:r w:rsidRPr="00CA0C69">
        <w:rPr>
          <w:rFonts w:ascii="Times New Roman" w:hAnsi="Times New Roman" w:cs="Times New Roman"/>
          <w:sz w:val="24"/>
          <w:szCs w:val="24"/>
        </w:rPr>
        <w:t xml:space="preserve"> Costs apart from the raw contents are indeed very substantial despite the labour aspect of it is often law. Profitability relies on the complicated question concerned with the effective management of costs and the performance registered by the end product in the international market.  </w:t>
      </w:r>
    </w:p>
    <w:p w:rsidR="003C5547" w:rsidRPr="00CA0C69" w:rsidRDefault="003C5547" w:rsidP="00CA0C69">
      <w:pPr>
        <w:autoSpaceDE w:val="0"/>
        <w:autoSpaceDN w:val="0"/>
        <w:adjustRightInd w:val="0"/>
        <w:spacing w:after="0" w:line="480" w:lineRule="auto"/>
        <w:rPr>
          <w:rFonts w:ascii="Times New Roman" w:hAnsi="Times New Roman" w:cs="Times New Roman"/>
          <w:sz w:val="24"/>
          <w:szCs w:val="24"/>
        </w:rPr>
      </w:pPr>
    </w:p>
    <w:p w:rsidR="003C5547" w:rsidRPr="00CA0C69" w:rsidRDefault="00481ABD" w:rsidP="00CA0C69">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A major factor affecting the profitability of the industrial supply companies in a market that is competitive is the capability of utilization. Investments in the industrial supply firms in the lasts decades have by cynical and are yet to be wholly anticipated in the conditions in the market.  All these cycles have emerged due to the big size nature of most industrial firms' investments and the time taken in the implementation of them as </w:t>
      </w:r>
      <w:r w:rsidR="00BB3953" w:rsidRPr="00CA0C69">
        <w:rPr>
          <w:rFonts w:ascii="Times New Roman" w:hAnsi="Times New Roman" w:cs="Times New Roman"/>
          <w:sz w:val="24"/>
          <w:szCs w:val="24"/>
        </w:rPr>
        <w:t>well</w:t>
      </w:r>
      <w:r w:rsidR="00BB3953" w:rsidRPr="00CA0C69">
        <w:rPr>
          <w:rFonts w:ascii="Times New Roman" w:hAnsi="Times New Roman" w:cs="Times New Roman"/>
          <w:color w:val="222222"/>
          <w:sz w:val="24"/>
          <w:szCs w:val="24"/>
          <w:shd w:val="clear" w:color="auto" w:fill="FFFFFF"/>
        </w:rPr>
        <w:t xml:space="preserve"> (</w:t>
      </w:r>
      <w:r w:rsidRPr="00CA0C69">
        <w:rPr>
          <w:rFonts w:ascii="Times New Roman" w:hAnsi="Times New Roman" w:cs="Times New Roman"/>
          <w:color w:val="222222"/>
          <w:sz w:val="24"/>
          <w:szCs w:val="24"/>
          <w:shd w:val="clear" w:color="auto" w:fill="FFFFFF"/>
        </w:rPr>
        <w:t>Drioli &amp; Romano, 2001)</w:t>
      </w:r>
      <w:r w:rsidRPr="00CA0C69">
        <w:rPr>
          <w:rFonts w:ascii="Times New Roman" w:hAnsi="Times New Roman" w:cs="Times New Roman"/>
          <w:sz w:val="24"/>
          <w:szCs w:val="24"/>
        </w:rPr>
        <w:t>. In some instances, it appears that every nation targets at the completion of a variety of industrial supplying firms within its borders. Consequently, the plant efficiency tends to decline rapidly since the stream of production is not operated close to its capability. Added to the same, global scale plants seem to enjoy cost advantages against the small-scale firms.</w:t>
      </w:r>
    </w:p>
    <w:p w:rsidR="00BC3977" w:rsidRPr="00CA0C69" w:rsidRDefault="00BC3977" w:rsidP="00CA0C69">
      <w:pPr>
        <w:autoSpaceDE w:val="0"/>
        <w:autoSpaceDN w:val="0"/>
        <w:adjustRightInd w:val="0"/>
        <w:spacing w:after="0" w:line="480" w:lineRule="auto"/>
        <w:rPr>
          <w:rFonts w:ascii="Times New Roman" w:hAnsi="Times New Roman" w:cs="Times New Roman"/>
          <w:color w:val="000000"/>
          <w:sz w:val="24"/>
          <w:szCs w:val="24"/>
        </w:rPr>
      </w:pPr>
    </w:p>
    <w:p w:rsidR="003C5547" w:rsidRPr="00CA0C69" w:rsidRDefault="00481ABD" w:rsidP="00CA0C69">
      <w:pPr>
        <w:autoSpaceDE w:val="0"/>
        <w:autoSpaceDN w:val="0"/>
        <w:adjustRightInd w:val="0"/>
        <w:spacing w:after="0" w:line="480" w:lineRule="auto"/>
        <w:jc w:val="center"/>
        <w:rPr>
          <w:rFonts w:ascii="Times New Roman" w:hAnsi="Times New Roman" w:cs="Times New Roman"/>
          <w:b/>
          <w:sz w:val="24"/>
          <w:szCs w:val="24"/>
        </w:rPr>
      </w:pPr>
      <w:r w:rsidRPr="00CA0C69">
        <w:rPr>
          <w:rFonts w:ascii="Times New Roman" w:hAnsi="Times New Roman" w:cs="Times New Roman"/>
          <w:b/>
          <w:iCs/>
          <w:color w:val="000000"/>
          <w:sz w:val="24"/>
          <w:szCs w:val="24"/>
        </w:rPr>
        <w:t xml:space="preserve">3.4 The intensity of rivalry among existing competitors </w:t>
      </w:r>
      <w:r w:rsidRPr="00CA0C69">
        <w:rPr>
          <w:rFonts w:ascii="Times New Roman" w:hAnsi="Times New Roman" w:cs="Times New Roman"/>
          <w:b/>
          <w:sz w:val="24"/>
          <w:szCs w:val="24"/>
        </w:rPr>
        <w:t>industrial supply companies</w:t>
      </w:r>
    </w:p>
    <w:p w:rsidR="003C5547" w:rsidRPr="00CA0C69" w:rsidRDefault="00481ABD" w:rsidP="00CA0C69">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Recently, competition among the industrial supply companies has been experiencing increasing trend in a rapid manner because of globalization. Mergers and acquisitions have emerged to be principal players that have ongoing with the desire of causing improvement in the </w:t>
      </w:r>
      <w:r w:rsidRPr="00CA0C69">
        <w:rPr>
          <w:rFonts w:ascii="Times New Roman" w:hAnsi="Times New Roman" w:cs="Times New Roman"/>
          <w:sz w:val="24"/>
          <w:szCs w:val="24"/>
        </w:rPr>
        <w:lastRenderedPageBreak/>
        <w:t>competitive edge and also strengthening of the position they hold in the industry</w:t>
      </w:r>
      <w:r w:rsidRPr="00CA0C69">
        <w:rPr>
          <w:rFonts w:ascii="Times New Roman" w:hAnsi="Times New Roman" w:cs="Times New Roman"/>
          <w:color w:val="222222"/>
          <w:sz w:val="24"/>
          <w:szCs w:val="24"/>
          <w:shd w:val="clear" w:color="auto" w:fill="FFFFFF"/>
        </w:rPr>
        <w:t xml:space="preserve"> (Al-Ghamdi &amp; Sohail, 2006)</w:t>
      </w:r>
      <w:r w:rsidRPr="00CA0C69">
        <w:rPr>
          <w:rFonts w:ascii="Times New Roman" w:hAnsi="Times New Roman" w:cs="Times New Roman"/>
          <w:sz w:val="24"/>
          <w:szCs w:val="24"/>
        </w:rPr>
        <w:t>.  Industrial supply companies in Saudi are faced with several instances of competition from Exxon Chemicals, BASF Chemical Company, Dow Chemicals, Shell Chemicals, Mitsubishi and many others. The competitors, in this case, have their impacts based on size and the market strength that leads to the competition is intense for survival. From the year 1997, the growth in the industry declined because of the financial crisis witnessed in Asia during this time.</w:t>
      </w:r>
    </w:p>
    <w:p w:rsidR="003C5547" w:rsidRPr="00CA0C69" w:rsidRDefault="00481ABD" w:rsidP="00CA0C69">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market of Asia is one of the biggest markets in the sector of petrochemicals. Prices of petrochemicals deemed to be basic declined drastically by nearly to cost-oriented levels. With the slow pace in rates of growth and competition that is increasing, there is an expectation of the price war to escalate among the competitors </w:t>
      </w:r>
      <w:r w:rsidRPr="00CA0C69">
        <w:rPr>
          <w:rFonts w:ascii="Times New Roman" w:hAnsi="Times New Roman" w:cs="Times New Roman"/>
          <w:color w:val="222222"/>
          <w:sz w:val="24"/>
          <w:szCs w:val="24"/>
          <w:shd w:val="clear" w:color="auto" w:fill="FFFFFF"/>
        </w:rPr>
        <w:t>(Drioli &amp; Romano, 2001)</w:t>
      </w:r>
      <w:r w:rsidRPr="00CA0C69">
        <w:rPr>
          <w:rFonts w:ascii="Times New Roman" w:hAnsi="Times New Roman" w:cs="Times New Roman"/>
          <w:sz w:val="24"/>
          <w:szCs w:val="24"/>
        </w:rPr>
        <w:t xml:space="preserve">. Excessive supply in the industry is on the other hand associated with other consequences such as the cost of storage of the supply commodities being relatively </w:t>
      </w:r>
      <w:r w:rsidRPr="00CA0C69">
        <w:rPr>
          <w:rFonts w:ascii="Times New Roman" w:hAnsi="Times New Roman" w:cs="Times New Roman"/>
          <w:color w:val="222222"/>
          <w:sz w:val="24"/>
          <w:szCs w:val="24"/>
          <w:shd w:val="clear" w:color="auto" w:fill="FFFFFF"/>
        </w:rPr>
        <w:t>(Drioli &amp; Romano, 2001)</w:t>
      </w:r>
      <w:r w:rsidRPr="00CA0C69">
        <w:rPr>
          <w:rFonts w:ascii="Times New Roman" w:hAnsi="Times New Roman" w:cs="Times New Roman"/>
          <w:sz w:val="24"/>
          <w:szCs w:val="24"/>
        </w:rPr>
        <w:t>. Every product needs to be kept at a given pressure and temperature as well and also with many industrial supply roles always being continuous; it ends being expensive in storing these products for the longer duration of time. Besides this, where the production capability declines, the production cost will end up being high as the ever costly fixed overhead types of costs will need absorption the lesser categories of units.</w:t>
      </w:r>
    </w:p>
    <w:p w:rsidR="00E07D80" w:rsidRPr="00CA0C69" w:rsidRDefault="00481ABD" w:rsidP="00CA0C69">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Another challenge towards the industrial supply companies is the general characteristics of the products since they are ever standardized. Since there is no perceptible variation based on the quality of the major commodities, customers tend to easily change from one particular supplier to another</w:t>
      </w:r>
      <w:r w:rsidRPr="00CA0C69">
        <w:rPr>
          <w:rFonts w:ascii="Times New Roman" w:hAnsi="Times New Roman" w:cs="Times New Roman"/>
          <w:color w:val="222222"/>
          <w:sz w:val="24"/>
          <w:szCs w:val="24"/>
          <w:shd w:val="clear" w:color="auto" w:fill="FFFFFF"/>
        </w:rPr>
        <w:t xml:space="preserve"> (</w:t>
      </w:r>
      <w:proofErr w:type="spellStart"/>
      <w:r w:rsidRPr="00CA0C69">
        <w:rPr>
          <w:rFonts w:ascii="Times New Roman" w:hAnsi="Times New Roman" w:cs="Times New Roman"/>
          <w:color w:val="222222"/>
          <w:sz w:val="24"/>
          <w:szCs w:val="24"/>
          <w:shd w:val="clear" w:color="auto" w:fill="FFFFFF"/>
        </w:rPr>
        <w:t>Achoui</w:t>
      </w:r>
      <w:proofErr w:type="spellEnd"/>
      <w:r w:rsidRPr="00CA0C69">
        <w:rPr>
          <w:rFonts w:ascii="Times New Roman" w:hAnsi="Times New Roman" w:cs="Times New Roman"/>
          <w:color w:val="222222"/>
          <w:sz w:val="24"/>
          <w:szCs w:val="24"/>
          <w:shd w:val="clear" w:color="auto" w:fill="FFFFFF"/>
        </w:rPr>
        <w:t>, 2009)</w:t>
      </w:r>
      <w:r w:rsidRPr="00CA0C69">
        <w:rPr>
          <w:rFonts w:ascii="Times New Roman" w:hAnsi="Times New Roman" w:cs="Times New Roman"/>
          <w:sz w:val="24"/>
          <w:szCs w:val="24"/>
        </w:rPr>
        <w:t xml:space="preserve">. With the presence of a huge form of investments and complicated operations, the industry that is defined by this naturally leads to the exit of the </w:t>
      </w:r>
      <w:r w:rsidRPr="00CA0C69">
        <w:rPr>
          <w:rFonts w:ascii="Times New Roman" w:hAnsi="Times New Roman" w:cs="Times New Roman"/>
          <w:sz w:val="24"/>
          <w:szCs w:val="24"/>
        </w:rPr>
        <w:lastRenderedPageBreak/>
        <w:t>barriers very high. Also, it is very expensive for switching to another industry since there no other same business. Inconsequently, the intensity of the competition among the present competitors is very intense. In consequent, rivalry within the industry also increases after the production capacity needs due to the increment in the demand. The additional capacity is often big thus needing major investments in the equipment, engineering design, and many others thus resulting in intense rivalry among competitors.</w:t>
      </w:r>
    </w:p>
    <w:p w:rsidR="00BC3977" w:rsidRPr="00CA0C69" w:rsidRDefault="00BC3977" w:rsidP="00CA0C69">
      <w:pPr>
        <w:spacing w:after="0" w:line="480" w:lineRule="auto"/>
        <w:jc w:val="both"/>
        <w:rPr>
          <w:rFonts w:ascii="Times New Roman" w:eastAsia="Times New Roman" w:hAnsi="Times New Roman" w:cs="Times New Roman"/>
          <w:sz w:val="24"/>
          <w:szCs w:val="24"/>
        </w:rPr>
      </w:pPr>
    </w:p>
    <w:p w:rsidR="00BC3977" w:rsidRPr="00CA0C69" w:rsidRDefault="00BC3977" w:rsidP="00CA0C69">
      <w:pPr>
        <w:spacing w:after="0" w:line="480" w:lineRule="auto"/>
        <w:jc w:val="both"/>
        <w:rPr>
          <w:rFonts w:ascii="Times New Roman" w:eastAsia="Times New Roman" w:hAnsi="Times New Roman" w:cs="Times New Roman"/>
          <w:sz w:val="24"/>
          <w:szCs w:val="24"/>
        </w:rPr>
      </w:pPr>
    </w:p>
    <w:p w:rsidR="00F25833" w:rsidRPr="00CA0C69" w:rsidRDefault="00481ABD" w:rsidP="00CA0C69">
      <w:pPr>
        <w:autoSpaceDE w:val="0"/>
        <w:autoSpaceDN w:val="0"/>
        <w:adjustRightInd w:val="0"/>
        <w:spacing w:after="0" w:line="480" w:lineRule="auto"/>
        <w:jc w:val="center"/>
        <w:rPr>
          <w:rFonts w:ascii="Times New Roman" w:hAnsi="Times New Roman" w:cs="Times New Roman"/>
          <w:b/>
          <w:iCs/>
          <w:color w:val="000000"/>
          <w:sz w:val="24"/>
          <w:szCs w:val="24"/>
        </w:rPr>
      </w:pPr>
      <w:r w:rsidRPr="00CA0C69">
        <w:rPr>
          <w:rFonts w:ascii="Times New Roman" w:hAnsi="Times New Roman" w:cs="Times New Roman"/>
          <w:b/>
          <w:iCs/>
          <w:color w:val="000000"/>
          <w:sz w:val="24"/>
          <w:szCs w:val="24"/>
        </w:rPr>
        <w:t>3.5  Bargaining power of supplier</w:t>
      </w:r>
    </w:p>
    <w:p w:rsidR="00F25833" w:rsidRPr="00CA0C69" w:rsidRDefault="00481ABD" w:rsidP="00CA0C69">
      <w:p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ab/>
        <w:t>The suppliers in the industrial supply companies are mostly dominated by many though dispersed all over the continent. On top of this, changing from one supplier to the other is not easy and the bargaining power form the supplier is also very weak. The industrial supply firms again reap the advantages of many strategic choices as the suppliers within the global scene engage in competition with each other as they seek to venture into the market of Saudi Arabia. Firms in the country have good terms of bargain comprised of prices that are reasonable and ways of acquiring good credit facilities</w:t>
      </w:r>
      <w:r w:rsidR="00BB3953" w:rsidRPr="00CA0C69">
        <w:rPr>
          <w:rFonts w:ascii="Times New Roman" w:hAnsi="Times New Roman" w:cs="Times New Roman"/>
          <w:color w:val="222222"/>
          <w:sz w:val="24"/>
          <w:szCs w:val="24"/>
          <w:shd w:val="clear" w:color="auto" w:fill="FFFFFF"/>
        </w:rPr>
        <w:t xml:space="preserve"> (Achoui, 2009). </w:t>
      </w:r>
      <w:r w:rsidRPr="00CA0C69">
        <w:rPr>
          <w:rFonts w:ascii="Times New Roman" w:hAnsi="Times New Roman" w:cs="Times New Roman"/>
          <w:color w:val="000000"/>
          <w:sz w:val="24"/>
          <w:szCs w:val="24"/>
        </w:rPr>
        <w:t>However, some suppliers handling raw mate</w:t>
      </w:r>
      <w:r w:rsidR="00BB3953" w:rsidRPr="00CA0C69">
        <w:rPr>
          <w:rFonts w:ascii="Times New Roman" w:hAnsi="Times New Roman" w:cs="Times New Roman"/>
          <w:color w:val="000000"/>
          <w:sz w:val="24"/>
          <w:szCs w:val="24"/>
        </w:rPr>
        <w:t xml:space="preserve">rials are </w:t>
      </w:r>
      <w:r w:rsidRPr="00CA0C69">
        <w:rPr>
          <w:rFonts w:ascii="Times New Roman" w:hAnsi="Times New Roman" w:cs="Times New Roman"/>
          <w:color w:val="000000"/>
          <w:sz w:val="24"/>
          <w:szCs w:val="24"/>
        </w:rPr>
        <w:t xml:space="preserve">very crucial since they have higher powers of bargaining thus leading to the very crucial in the process of production. In their absence, the production activity may halt. On top of this certain suppliers attempt integrating faster with the objective of </w:t>
      </w:r>
      <w:r w:rsidR="00BB3953" w:rsidRPr="00CA0C69">
        <w:rPr>
          <w:rFonts w:ascii="Times New Roman" w:hAnsi="Times New Roman" w:cs="Times New Roman"/>
          <w:color w:val="000000"/>
          <w:sz w:val="24"/>
          <w:szCs w:val="24"/>
        </w:rPr>
        <w:t>obtaining prices</w:t>
      </w:r>
      <w:r w:rsidRPr="00CA0C69">
        <w:rPr>
          <w:rFonts w:ascii="Times New Roman" w:hAnsi="Times New Roman" w:cs="Times New Roman"/>
          <w:color w:val="000000"/>
          <w:sz w:val="24"/>
          <w:szCs w:val="24"/>
        </w:rPr>
        <w:t xml:space="preserve"> that are high and good margins. However, such suppliers always encounter high threats.  For instance, major material dedicated to input in many firms is aluminum </w:t>
      </w:r>
      <w:r w:rsidR="00BB3953" w:rsidRPr="00CA0C69">
        <w:rPr>
          <w:rFonts w:ascii="Times New Roman" w:hAnsi="Times New Roman" w:cs="Times New Roman"/>
          <w:color w:val="000000"/>
          <w:sz w:val="24"/>
          <w:szCs w:val="24"/>
        </w:rPr>
        <w:t>alkyls that are</w:t>
      </w:r>
      <w:r w:rsidRPr="00CA0C69">
        <w:rPr>
          <w:rFonts w:ascii="Times New Roman" w:hAnsi="Times New Roman" w:cs="Times New Roman"/>
          <w:color w:val="000000"/>
          <w:sz w:val="24"/>
          <w:szCs w:val="24"/>
        </w:rPr>
        <w:t xml:space="preserve"> applicable in the process of production as </w:t>
      </w:r>
      <w:r w:rsidR="00BB3953" w:rsidRPr="00CA0C69">
        <w:rPr>
          <w:rFonts w:ascii="Times New Roman" w:hAnsi="Times New Roman" w:cs="Times New Roman"/>
          <w:color w:val="000000"/>
          <w:sz w:val="24"/>
          <w:szCs w:val="24"/>
        </w:rPr>
        <w:t>catalyst</w:t>
      </w:r>
      <w:r w:rsidRPr="00CA0C69">
        <w:rPr>
          <w:rFonts w:ascii="Times New Roman" w:hAnsi="Times New Roman" w:cs="Times New Roman"/>
          <w:color w:val="000000"/>
          <w:sz w:val="24"/>
          <w:szCs w:val="24"/>
        </w:rPr>
        <w:t xml:space="preserve"> equipment. This component lacks even a substitute, and any lack of its supply may lead to the </w:t>
      </w:r>
      <w:proofErr w:type="spellStart"/>
      <w:r w:rsidRPr="00CA0C69">
        <w:rPr>
          <w:rFonts w:ascii="Times New Roman" w:hAnsi="Times New Roman" w:cs="Times New Roman"/>
          <w:color w:val="000000"/>
          <w:sz w:val="24"/>
          <w:szCs w:val="24"/>
        </w:rPr>
        <w:t>jeorpadization</w:t>
      </w:r>
      <w:proofErr w:type="spellEnd"/>
      <w:r w:rsidRPr="00CA0C69">
        <w:rPr>
          <w:rFonts w:ascii="Times New Roman" w:hAnsi="Times New Roman" w:cs="Times New Roman"/>
          <w:color w:val="000000"/>
          <w:sz w:val="24"/>
          <w:szCs w:val="24"/>
        </w:rPr>
        <w:t xml:space="preserve"> of the process of production. </w:t>
      </w:r>
    </w:p>
    <w:p w:rsidR="00F25833" w:rsidRPr="00CA0C69" w:rsidRDefault="00F25833" w:rsidP="00CA0C69">
      <w:pPr>
        <w:autoSpaceDE w:val="0"/>
        <w:autoSpaceDN w:val="0"/>
        <w:adjustRightInd w:val="0"/>
        <w:spacing w:after="0" w:line="480" w:lineRule="auto"/>
        <w:jc w:val="center"/>
        <w:rPr>
          <w:rFonts w:ascii="Times New Roman" w:hAnsi="Times New Roman" w:cs="Times New Roman"/>
          <w:color w:val="000000"/>
          <w:sz w:val="24"/>
          <w:szCs w:val="24"/>
        </w:rPr>
      </w:pPr>
    </w:p>
    <w:p w:rsidR="00F25833" w:rsidRPr="00CA0C69" w:rsidRDefault="00481ABD" w:rsidP="00CA0C69">
      <w:pPr>
        <w:autoSpaceDE w:val="0"/>
        <w:autoSpaceDN w:val="0"/>
        <w:adjustRightInd w:val="0"/>
        <w:spacing w:after="0" w:line="480" w:lineRule="auto"/>
        <w:jc w:val="center"/>
        <w:rPr>
          <w:rFonts w:ascii="Times New Roman" w:hAnsi="Times New Roman" w:cs="Times New Roman"/>
          <w:b/>
          <w:bCs/>
          <w:color w:val="000000"/>
          <w:sz w:val="24"/>
          <w:szCs w:val="24"/>
        </w:rPr>
      </w:pPr>
      <w:r w:rsidRPr="00CA0C69">
        <w:rPr>
          <w:rFonts w:ascii="Times New Roman" w:hAnsi="Times New Roman" w:cs="Times New Roman"/>
          <w:b/>
          <w:bCs/>
          <w:color w:val="000000"/>
          <w:sz w:val="24"/>
          <w:szCs w:val="24"/>
        </w:rPr>
        <w:t>4.0 CONCLUSION AND RECOMMENDATION</w:t>
      </w:r>
    </w:p>
    <w:p w:rsidR="00F25833"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The sustainability of the industrial supply companies in the saturated markets in Saudi Arabia relies on the global perspective. The intensity of competition among the competing firms within the industrial supply companies is indeed so high. Based on the volatile nature of the international market, any significant change in the global market segments will result in the production of major impacts on it. The Saudi industrial supplying firms' success in the future will heavily rely on the way it is capable of adapting to its relative strategies. A major player in the Saudi's industrial supply chain, SABIC has managed to respond to changes in an admirable manner.  From the year 2002, it has been aiming at the strategy of globalization. For instance, it undertook the restructuring of the business operations and came up with a new model of business through coming up with a total of six Strategic Business Units (SBUs). Added to the reorganization of the underlying operations within the four SBUs (petrochemical divisions, intermediates, basic chemicals and </w:t>
      </w:r>
      <w:proofErr w:type="spellStart"/>
      <w:r w:rsidRPr="00CA0C69">
        <w:rPr>
          <w:rFonts w:ascii="Times New Roman" w:hAnsi="Times New Roman" w:cs="Times New Roman"/>
          <w:color w:val="000000"/>
          <w:sz w:val="24"/>
          <w:szCs w:val="24"/>
        </w:rPr>
        <w:t>polyolefins</w:t>
      </w:r>
      <w:proofErr w:type="spellEnd"/>
      <w:r w:rsidRPr="00CA0C69">
        <w:rPr>
          <w:rFonts w:ascii="Times New Roman" w:hAnsi="Times New Roman" w:cs="Times New Roman"/>
          <w:color w:val="000000"/>
          <w:sz w:val="24"/>
          <w:szCs w:val="24"/>
        </w:rPr>
        <w:t>), two recently formulated SBUs were formulated (global operating business and services shared by organizations) to give a reflection of the strategy of global expansion.</w:t>
      </w:r>
    </w:p>
    <w:p w:rsidR="00F25833" w:rsidRPr="00CA0C69" w:rsidRDefault="00F25833" w:rsidP="00CA0C69">
      <w:pPr>
        <w:autoSpaceDE w:val="0"/>
        <w:autoSpaceDN w:val="0"/>
        <w:adjustRightInd w:val="0"/>
        <w:spacing w:after="0" w:line="480" w:lineRule="auto"/>
        <w:rPr>
          <w:rFonts w:ascii="Times New Roman" w:hAnsi="Times New Roman" w:cs="Times New Roman"/>
          <w:color w:val="000000"/>
          <w:sz w:val="24"/>
          <w:szCs w:val="24"/>
        </w:rPr>
      </w:pPr>
    </w:p>
    <w:p w:rsidR="00F25833"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Industry supply firms give a reflection of the mood existing in the industrial supply companies in the market of Saudi Arabia. From the position 22dn that it held in the early periods of the year 2000, SABC gained positives by moving to position 11</w:t>
      </w:r>
      <w:r w:rsidRPr="00CA0C69">
        <w:rPr>
          <w:rFonts w:ascii="Times New Roman" w:hAnsi="Times New Roman" w:cs="Times New Roman"/>
          <w:color w:val="000000"/>
          <w:sz w:val="24"/>
          <w:szCs w:val="24"/>
          <w:vertAlign w:val="superscript"/>
        </w:rPr>
        <w:t>th</w:t>
      </w:r>
      <w:r w:rsidRPr="00CA0C69">
        <w:rPr>
          <w:rFonts w:ascii="Times New Roman" w:hAnsi="Times New Roman" w:cs="Times New Roman"/>
          <w:color w:val="000000"/>
          <w:sz w:val="24"/>
          <w:szCs w:val="24"/>
        </w:rPr>
        <w:t xml:space="preserve"> in just a few years after venturing into the industrial supply activity. The industrial supply companies of Saudi is so far the top all over the globe with the sector of the petrochemical industry ranked in the leading position in the business of polyethylene and polypropylene industrial supply companies in Saudi </w:t>
      </w:r>
      <w:r w:rsidRPr="00CA0C69">
        <w:rPr>
          <w:rFonts w:ascii="Times New Roman" w:hAnsi="Times New Roman" w:cs="Times New Roman"/>
          <w:color w:val="000000"/>
          <w:sz w:val="24"/>
          <w:szCs w:val="24"/>
        </w:rPr>
        <w:lastRenderedPageBreak/>
        <w:t xml:space="preserve">has strategic advantages due to the increase in the demand for the products associated with sector of the petrochemical in the both the local and the international scenes.  The same is also due to the engagement and the support that comes from the Saudi government.  The policies from the government and rules have remained to be the most favorable. The existing prices and the prediction of oil and the prices of the substances such as the prices of the petrochemicals remain another aspect that has been in the responsible or received favoritism in the industry. On top of the competitive challenges, Saudi petrochemical firms face other various challenges. A section of the major significant is associated with the high reliance </w:t>
      </w:r>
      <w:r w:rsidR="003368FB" w:rsidRPr="00CA0C69">
        <w:rPr>
          <w:rFonts w:ascii="Times New Roman" w:hAnsi="Times New Roman" w:cs="Times New Roman"/>
          <w:color w:val="000000"/>
          <w:sz w:val="24"/>
          <w:szCs w:val="24"/>
        </w:rPr>
        <w:t>on the</w:t>
      </w:r>
      <w:r w:rsidRPr="00CA0C69">
        <w:rPr>
          <w:rFonts w:ascii="Times New Roman" w:hAnsi="Times New Roman" w:cs="Times New Roman"/>
          <w:color w:val="000000"/>
          <w:sz w:val="24"/>
          <w:szCs w:val="24"/>
        </w:rPr>
        <w:t xml:space="preserve"> skilled or experienced expatriates, expensive nature of the transfer of the technology, low productivity levels of the workforce in Saudi Arabia because of the unavailability of motivation and the resurgence of competition. Others include the illegalization of the MTBE in some nations and the removal of the application of the PVC   such is in Europe, polyvinyl chloride (PVC) that has been removed from food contact use. Those who have been lobbying against the PVC have been carrying out training with its gun within the industry. Many retail-based chains and supermarkets are doing away with the PVC in the lines of product and packaging.  </w:t>
      </w:r>
    </w:p>
    <w:p w:rsidR="00F25833"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With the major overseas markets, the success of the future industrial supplying companies in Saudi Arabia will rely on how the company's especially bigger ones such as the SABIC will come with their strategies in the world market. On top of this, the presently existing market will end being saturated, with strategic initiatives needed in the identification and the penetration of the markets that are yet to be tapped. Industrial supply companies in Saudi Arabia need to channel their efforts in the sector of marketing and research as wells as in the development sectors. Irrespective of the various advantages associated with the product lines, top class quality commodities and wide areas of the distribution networks, Saudi is yet to find its </w:t>
      </w:r>
      <w:r w:rsidRPr="00CA0C69">
        <w:rPr>
          <w:rFonts w:ascii="Times New Roman" w:hAnsi="Times New Roman" w:cs="Times New Roman"/>
          <w:color w:val="000000"/>
          <w:sz w:val="24"/>
          <w:szCs w:val="24"/>
        </w:rPr>
        <w:lastRenderedPageBreak/>
        <w:t xml:space="preserve">way in the world market such as the Far East and East Asian regions. The other area where the industry needs to give a thought is the human resource factor. The industry depends on the expatriate type of labor force for assistance in the skills of handling technical and managerial matters. With the policy by the government by subjected towards implantation with a lot of enthusiasm, the industry has no option but to come up with skills and knowledge in the local based employees. About the firm sizes, there is a suggestion that big sized </w:t>
      </w:r>
      <w:proofErr w:type="gramStart"/>
      <w:r w:rsidRPr="00CA0C69">
        <w:rPr>
          <w:rFonts w:ascii="Times New Roman" w:hAnsi="Times New Roman" w:cs="Times New Roman"/>
          <w:color w:val="000000"/>
          <w:sz w:val="24"/>
          <w:szCs w:val="24"/>
        </w:rPr>
        <w:t>firms</w:t>
      </w:r>
      <w:proofErr w:type="gramEnd"/>
      <w:r w:rsidRPr="00CA0C69">
        <w:rPr>
          <w:rFonts w:ascii="Times New Roman" w:hAnsi="Times New Roman" w:cs="Times New Roman"/>
          <w:color w:val="000000"/>
          <w:sz w:val="24"/>
          <w:szCs w:val="24"/>
        </w:rPr>
        <w:t xml:space="preserve"> such as SABIC need to give re-consideration of the formerly formulated plans of investment so that it shows compatibility with the ever-changing situation in the global world. </w:t>
      </w:r>
    </w:p>
    <w:p w:rsidR="00F25833" w:rsidRPr="00CA0C69" w:rsidRDefault="00481ABD" w:rsidP="00CA0C69">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Despite bigger firms being associated with profits, a marketing and distribution objective that is aggressive will be essential for the sustenance of the profitability in the world market that is very competitive. Small and bigger firms need to merge with the goal of strengthening their base of capital, the increment in productivity and also the sake of reducing costs. The instance, in this case, is essential in the handling of the expected competition from the foreign-based nations. Following the resurgence of fresh entrants in many countries that Iran, Qatar, China and Kuwait, companies in Saudi Arabia such as the big ones that belong to SABIC need to undertake the exploration of the chances in accessing or engaging in joint ventures or the strategic cases of alliances. Projects within the private sectors need to be established and also supported to ensure increment in the domestic-based demand </w:t>
      </w:r>
      <w:r w:rsidR="00BB3953" w:rsidRPr="00CA0C69">
        <w:rPr>
          <w:rFonts w:ascii="Times New Roman" w:hAnsi="Times New Roman" w:cs="Times New Roman"/>
          <w:color w:val="000000"/>
          <w:sz w:val="24"/>
          <w:szCs w:val="24"/>
        </w:rPr>
        <w:t>on industrial</w:t>
      </w:r>
      <w:r w:rsidRPr="00CA0C69">
        <w:rPr>
          <w:rFonts w:ascii="Times New Roman" w:hAnsi="Times New Roman" w:cs="Times New Roman"/>
          <w:color w:val="000000"/>
          <w:sz w:val="24"/>
          <w:szCs w:val="24"/>
        </w:rPr>
        <w:t xml:space="preserve"> supply commodities that include gas derivatives and petroleum-related products. Incentives need to be provided to the locally based investors for the purposes of producing inputs. For instance, the incentives themselves may be in the form of long duration types of loans, expertise, and technology. </w:t>
      </w:r>
    </w:p>
    <w:p w:rsidR="00F25833" w:rsidRPr="00CA0C69" w:rsidRDefault="00481ABD" w:rsidP="00CA0C69">
      <w:pPr>
        <w:spacing w:line="480" w:lineRule="auto"/>
        <w:rPr>
          <w:rFonts w:ascii="Times New Roman" w:hAnsi="Times New Roman" w:cs="Times New Roman"/>
          <w:sz w:val="24"/>
          <w:szCs w:val="24"/>
        </w:rPr>
      </w:pPr>
      <w:r w:rsidRPr="00CA0C69">
        <w:rPr>
          <w:rFonts w:ascii="Times New Roman" w:hAnsi="Times New Roman" w:cs="Times New Roman"/>
          <w:color w:val="000000"/>
          <w:sz w:val="24"/>
          <w:szCs w:val="24"/>
        </w:rPr>
        <w:t xml:space="preserve">The other type of strategy that requires exploration is the establishment of the substitutes or the modification of the process of manufacturing to eliminate the inputs that are deemed scarce. </w:t>
      </w:r>
      <w:r w:rsidRPr="00CA0C69">
        <w:rPr>
          <w:rFonts w:ascii="Times New Roman" w:hAnsi="Times New Roman" w:cs="Times New Roman"/>
          <w:color w:val="000000"/>
          <w:sz w:val="24"/>
          <w:szCs w:val="24"/>
        </w:rPr>
        <w:lastRenderedPageBreak/>
        <w:t xml:space="preserve">Also, there is strong zeal for the continuity in the improvement process for the purposes of preventing the technological type of obsolescence of the incoming days or the future. As a matter of concluding, this paper has presented on the evaluation of the </w:t>
      </w:r>
      <w:r w:rsidRPr="00CA0C69">
        <w:rPr>
          <w:rFonts w:ascii="Times New Roman" w:hAnsi="Times New Roman" w:cs="Times New Roman"/>
          <w:sz w:val="24"/>
          <w:szCs w:val="24"/>
        </w:rPr>
        <w:t>sustainability of industrial supply companies in a saturated market: a Saudi perspective. Porter's model has been used for the purposes. The sustainability of the industrial supply firms has assisted Saudi Arabia in gaining and maintaining its level of competition with the globe. However, with the global-based emerging, a careful choice of the strategies needs to be given a priority for retaining and enhancing the level of competition.</w:t>
      </w:r>
    </w:p>
    <w:p w:rsidR="00F25833" w:rsidRPr="00CA0C69" w:rsidRDefault="00F25833" w:rsidP="00CA0C69">
      <w:pPr>
        <w:autoSpaceDE w:val="0"/>
        <w:autoSpaceDN w:val="0"/>
        <w:adjustRightInd w:val="0"/>
        <w:spacing w:after="0" w:line="480" w:lineRule="auto"/>
        <w:rPr>
          <w:rFonts w:ascii="Times New Roman" w:hAnsi="Times New Roman" w:cs="Times New Roman"/>
          <w:i/>
          <w:color w:val="000000"/>
          <w:sz w:val="24"/>
          <w:szCs w:val="24"/>
        </w:rPr>
      </w:pPr>
    </w:p>
    <w:p w:rsidR="00F25833" w:rsidRPr="00CA0C69" w:rsidRDefault="00F25833" w:rsidP="00CA0C69">
      <w:pPr>
        <w:spacing w:line="480" w:lineRule="auto"/>
        <w:rPr>
          <w:rFonts w:ascii="Times New Roman" w:hAnsi="Times New Roman" w:cs="Times New Roman"/>
          <w:sz w:val="24"/>
          <w:szCs w:val="24"/>
        </w:rPr>
      </w:pPr>
    </w:p>
    <w:p w:rsidR="00BC3977" w:rsidRPr="00CA0C69" w:rsidRDefault="00BC3977" w:rsidP="00CA0C69">
      <w:pPr>
        <w:spacing w:after="0" w:line="480" w:lineRule="auto"/>
        <w:jc w:val="both"/>
        <w:rPr>
          <w:rFonts w:ascii="Times New Roman" w:eastAsia="Times New Roman" w:hAnsi="Times New Roman" w:cs="Times New Roman"/>
          <w:sz w:val="24"/>
          <w:szCs w:val="24"/>
        </w:rPr>
      </w:pPr>
    </w:p>
    <w:p w:rsidR="00BC3977" w:rsidRPr="00CA0C69" w:rsidRDefault="00BC3977" w:rsidP="00CA0C69">
      <w:pPr>
        <w:spacing w:after="0" w:line="480" w:lineRule="auto"/>
        <w:jc w:val="both"/>
        <w:rPr>
          <w:rFonts w:ascii="Times New Roman" w:eastAsia="Times New Roman" w:hAnsi="Times New Roman" w:cs="Times New Roman"/>
          <w:sz w:val="24"/>
          <w:szCs w:val="24"/>
        </w:rPr>
      </w:pPr>
    </w:p>
    <w:p w:rsidR="00925467" w:rsidRPr="00CA0C69" w:rsidRDefault="00925467" w:rsidP="00CA0C69">
      <w:pPr>
        <w:spacing w:line="480" w:lineRule="auto"/>
        <w:rPr>
          <w:rFonts w:ascii="Times New Roman" w:hAnsi="Times New Roman" w:cs="Times New Roman"/>
          <w:sz w:val="24"/>
          <w:szCs w:val="24"/>
        </w:rPr>
      </w:pPr>
    </w:p>
    <w:p w:rsidR="00CA0C69" w:rsidRDefault="00CA0C69" w:rsidP="00CA0C69">
      <w:pPr>
        <w:pStyle w:val="Heading1"/>
        <w:spacing w:line="480" w:lineRule="auto"/>
        <w:jc w:val="center"/>
        <w:rPr>
          <w:rFonts w:ascii="Times New Roman" w:hAnsi="Times New Roman" w:cs="Times New Roman"/>
          <w:color w:val="auto"/>
          <w:sz w:val="24"/>
          <w:szCs w:val="24"/>
        </w:rPr>
      </w:pPr>
    </w:p>
    <w:p w:rsidR="00CA0C69" w:rsidRDefault="00CA0C69" w:rsidP="00CA0C69">
      <w:pPr>
        <w:pStyle w:val="Heading1"/>
        <w:spacing w:line="480" w:lineRule="auto"/>
        <w:jc w:val="center"/>
        <w:rPr>
          <w:rFonts w:ascii="Times New Roman" w:hAnsi="Times New Roman" w:cs="Times New Roman"/>
          <w:color w:val="auto"/>
          <w:sz w:val="24"/>
          <w:szCs w:val="24"/>
        </w:rPr>
      </w:pPr>
    </w:p>
    <w:p w:rsidR="00CA0C69" w:rsidRDefault="00CA0C69" w:rsidP="00CA0C69"/>
    <w:p w:rsidR="00CA0C69" w:rsidRPr="00CA0C69" w:rsidRDefault="00CA0C69" w:rsidP="00CA0C69"/>
    <w:p w:rsidR="00870B96" w:rsidRPr="00CA0C69" w:rsidRDefault="00481ABD" w:rsidP="00CA0C69">
      <w:pPr>
        <w:pStyle w:val="Heading1"/>
        <w:spacing w:line="480" w:lineRule="auto"/>
        <w:jc w:val="center"/>
        <w:rPr>
          <w:rFonts w:ascii="Times New Roman" w:hAnsi="Times New Roman" w:cs="Times New Roman"/>
          <w:color w:val="auto"/>
          <w:sz w:val="24"/>
          <w:szCs w:val="24"/>
        </w:rPr>
      </w:pPr>
      <w:r w:rsidRPr="00CA0C69">
        <w:rPr>
          <w:rFonts w:ascii="Times New Roman" w:hAnsi="Times New Roman" w:cs="Times New Roman"/>
          <w:color w:val="auto"/>
          <w:sz w:val="24"/>
          <w:szCs w:val="24"/>
        </w:rPr>
        <w:lastRenderedPageBreak/>
        <w:t>5.0 REFERENCES</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Achoui, M. M. (2009). Human resource development in Gulf countries: an analysis of the trends and challenges facing Saudi Arabia. </w:t>
      </w:r>
      <w:r w:rsidRPr="00CA0C69">
        <w:rPr>
          <w:rFonts w:ascii="Times New Roman" w:hAnsi="Times New Roman" w:cs="Times New Roman"/>
          <w:i/>
          <w:iCs/>
          <w:color w:val="222222"/>
          <w:sz w:val="24"/>
          <w:szCs w:val="24"/>
          <w:shd w:val="clear" w:color="auto" w:fill="FFFFFF"/>
        </w:rPr>
        <w:t>Human Resource Development International</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12</w:t>
      </w:r>
      <w:r w:rsidRPr="00CA0C69">
        <w:rPr>
          <w:rFonts w:ascii="Times New Roman" w:hAnsi="Times New Roman" w:cs="Times New Roman"/>
          <w:color w:val="222222"/>
          <w:sz w:val="24"/>
          <w:szCs w:val="24"/>
          <w:shd w:val="clear" w:color="auto" w:fill="FFFFFF"/>
        </w:rPr>
        <w:t>(1), 35-46.</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Al-Ghamdi, S. M., &amp; Sohail, M. S. (2006). Sustaining competitive advantage in the global petrochemical industry: a Saudi Arabian perspective. </w:t>
      </w:r>
      <w:r w:rsidRPr="00CA0C69">
        <w:rPr>
          <w:rFonts w:ascii="Times New Roman" w:hAnsi="Times New Roman" w:cs="Times New Roman"/>
          <w:i/>
          <w:iCs/>
          <w:color w:val="222222"/>
          <w:sz w:val="24"/>
          <w:szCs w:val="24"/>
          <w:shd w:val="clear" w:color="auto" w:fill="FFFFFF"/>
        </w:rPr>
        <w:t>Journal of International Business and Entrepreneurship Development</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3</w:t>
      </w:r>
      <w:r w:rsidRPr="00CA0C69">
        <w:rPr>
          <w:rFonts w:ascii="Times New Roman" w:hAnsi="Times New Roman" w:cs="Times New Roman"/>
          <w:color w:val="222222"/>
          <w:sz w:val="24"/>
          <w:szCs w:val="24"/>
          <w:shd w:val="clear" w:color="auto" w:fill="FFFFFF"/>
        </w:rPr>
        <w:t>(1-2), 4-17.</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color w:val="222222"/>
          <w:sz w:val="24"/>
          <w:szCs w:val="24"/>
          <w:shd w:val="clear" w:color="auto" w:fill="FFFFFF"/>
        </w:rPr>
        <w:t>Bryman, A., 2015. </w:t>
      </w:r>
      <w:r w:rsidRPr="00CA0C69">
        <w:rPr>
          <w:rFonts w:ascii="Times New Roman" w:hAnsi="Times New Roman" w:cs="Times New Roman"/>
          <w:i/>
          <w:iCs/>
          <w:color w:val="222222"/>
          <w:sz w:val="24"/>
          <w:szCs w:val="24"/>
          <w:shd w:val="clear" w:color="auto" w:fill="FFFFFF"/>
        </w:rPr>
        <w:t>Social research methods</w:t>
      </w:r>
      <w:r w:rsidRPr="00CA0C69">
        <w:rPr>
          <w:rFonts w:ascii="Times New Roman" w:hAnsi="Times New Roman" w:cs="Times New Roman"/>
          <w:color w:val="222222"/>
          <w:sz w:val="24"/>
          <w:szCs w:val="24"/>
          <w:shd w:val="clear" w:color="auto" w:fill="FFFFFF"/>
        </w:rPr>
        <w:t>. Oxford university press.</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Crane, A., &amp; Matten, D. (2016). </w:t>
      </w:r>
      <w:r w:rsidRPr="00CA0C69">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CA0C69">
        <w:rPr>
          <w:rFonts w:ascii="Times New Roman" w:hAnsi="Times New Roman" w:cs="Times New Roman"/>
          <w:color w:val="222222"/>
          <w:sz w:val="24"/>
          <w:szCs w:val="24"/>
          <w:shd w:val="clear" w:color="auto" w:fill="FFFFFF"/>
        </w:rPr>
        <w:t>. Oxford University Press.</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Drioli, E., &amp; Romano, M. (2001). Progress and new perspectives on integrated membrane operations for sustainable industrial growth. </w:t>
      </w:r>
      <w:r w:rsidRPr="00CA0C69">
        <w:rPr>
          <w:rFonts w:ascii="Times New Roman" w:hAnsi="Times New Roman" w:cs="Times New Roman"/>
          <w:i/>
          <w:iCs/>
          <w:color w:val="222222"/>
          <w:sz w:val="24"/>
          <w:szCs w:val="24"/>
          <w:shd w:val="clear" w:color="auto" w:fill="FFFFFF"/>
        </w:rPr>
        <w:t>Industrial &amp; engineering chemistry research</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40</w:t>
      </w:r>
      <w:r w:rsidRPr="00CA0C69">
        <w:rPr>
          <w:rFonts w:ascii="Times New Roman" w:hAnsi="Times New Roman" w:cs="Times New Roman"/>
          <w:color w:val="222222"/>
          <w:sz w:val="24"/>
          <w:szCs w:val="24"/>
          <w:shd w:val="clear" w:color="auto" w:fill="FFFFFF"/>
        </w:rPr>
        <w:t>(5), 1277-1300.</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Hammond, G. P. (2000). Energy, environment and sustainable development: a UK perspective. </w:t>
      </w:r>
      <w:r w:rsidRPr="00CA0C69">
        <w:rPr>
          <w:rFonts w:ascii="Times New Roman" w:hAnsi="Times New Roman" w:cs="Times New Roman"/>
          <w:i/>
          <w:iCs/>
          <w:color w:val="222222"/>
          <w:sz w:val="24"/>
          <w:szCs w:val="24"/>
          <w:shd w:val="clear" w:color="auto" w:fill="FFFFFF"/>
        </w:rPr>
        <w:t>Process Safety and Environmental Protection</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78</w:t>
      </w:r>
      <w:r w:rsidRPr="00CA0C69">
        <w:rPr>
          <w:rFonts w:ascii="Times New Roman" w:hAnsi="Times New Roman" w:cs="Times New Roman"/>
          <w:color w:val="222222"/>
          <w:sz w:val="24"/>
          <w:szCs w:val="24"/>
          <w:shd w:val="clear" w:color="auto" w:fill="FFFFFF"/>
        </w:rPr>
        <w:t>(4), 304-323.</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Karimi, A., &amp; Venkatesan, S. (2009). Mathematics anxiety, mathematics performance and academic hardiness in high school students. </w:t>
      </w:r>
      <w:r w:rsidRPr="00CA0C69">
        <w:rPr>
          <w:rFonts w:ascii="Times New Roman" w:hAnsi="Times New Roman" w:cs="Times New Roman"/>
          <w:i/>
          <w:iCs/>
          <w:sz w:val="24"/>
          <w:szCs w:val="24"/>
          <w:shd w:val="clear" w:color="auto" w:fill="FFFFFF"/>
        </w:rPr>
        <w:t>International Journal of Educational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w:t>
      </w:r>
      <w:r w:rsidRPr="00CA0C69">
        <w:rPr>
          <w:rFonts w:ascii="Times New Roman" w:hAnsi="Times New Roman" w:cs="Times New Roman"/>
          <w:sz w:val="24"/>
          <w:szCs w:val="24"/>
          <w:shd w:val="clear" w:color="auto" w:fill="FFFFFF"/>
        </w:rPr>
        <w:t>(1), 33-37.\</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Li, Q., &amp; Ma, X. (2010). A meta-analysis of the effects of computer technology on school students’ mathematics learning. </w:t>
      </w:r>
      <w:r w:rsidRPr="00CA0C69">
        <w:rPr>
          <w:rFonts w:ascii="Times New Roman" w:hAnsi="Times New Roman" w:cs="Times New Roman"/>
          <w:i/>
          <w:iCs/>
          <w:sz w:val="24"/>
          <w:szCs w:val="24"/>
          <w:shd w:val="clear" w:color="auto" w:fill="FFFFFF"/>
        </w:rPr>
        <w:t>Educational Psychology Review</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22</w:t>
      </w:r>
      <w:r w:rsidRPr="00CA0C69">
        <w:rPr>
          <w:rFonts w:ascii="Times New Roman" w:hAnsi="Times New Roman" w:cs="Times New Roman"/>
          <w:sz w:val="24"/>
          <w:szCs w:val="24"/>
          <w:shd w:val="clear" w:color="auto" w:fill="FFFFFF"/>
        </w:rPr>
        <w:t>(3), 215-243.</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Maloney, E. A., &amp; Beilock, S. L. (2012). Math anxiety: Who has it, why it develops, and how to guard against it. </w:t>
      </w:r>
      <w:r w:rsidRPr="00CA0C69">
        <w:rPr>
          <w:rFonts w:ascii="Times New Roman" w:hAnsi="Times New Roman" w:cs="Times New Roman"/>
          <w:i/>
          <w:iCs/>
          <w:sz w:val="24"/>
          <w:szCs w:val="24"/>
          <w:shd w:val="clear" w:color="auto" w:fill="FFFFFF"/>
        </w:rPr>
        <w:t>Trends in cognitive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16</w:t>
      </w:r>
      <w:r w:rsidRPr="00CA0C69">
        <w:rPr>
          <w:rFonts w:ascii="Times New Roman" w:hAnsi="Times New Roman" w:cs="Times New Roman"/>
          <w:sz w:val="24"/>
          <w:szCs w:val="24"/>
          <w:shd w:val="clear" w:color="auto" w:fill="FFFFFF"/>
        </w:rPr>
        <w:t>(8), 404-406.</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lastRenderedPageBreak/>
        <w:t>Mouzughi, Y., Bryde, D., &amp; Al-Shaer, M. (2014). The role of real estate in sustainable development in developing countries: The case of the Kingdom of Bahrain. </w:t>
      </w:r>
      <w:r w:rsidRPr="00CA0C69">
        <w:rPr>
          <w:rFonts w:ascii="Times New Roman" w:hAnsi="Times New Roman" w:cs="Times New Roman"/>
          <w:i/>
          <w:iCs/>
          <w:color w:val="222222"/>
          <w:sz w:val="24"/>
          <w:szCs w:val="24"/>
          <w:shd w:val="clear" w:color="auto" w:fill="FFFFFF"/>
        </w:rPr>
        <w:t>Sustainability</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6</w:t>
      </w:r>
      <w:r w:rsidRPr="00CA0C69">
        <w:rPr>
          <w:rFonts w:ascii="Times New Roman" w:hAnsi="Times New Roman" w:cs="Times New Roman"/>
          <w:color w:val="222222"/>
          <w:sz w:val="24"/>
          <w:szCs w:val="24"/>
          <w:shd w:val="clear" w:color="auto" w:fill="FFFFFF"/>
        </w:rPr>
        <w:t>(4), 1709-1728.</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Ozgen, K., &amp; Bindaka, R. (2011). Determination of Self-Efficacy Beliefs of High School Students towards Math Literacy. </w:t>
      </w:r>
      <w:r w:rsidRPr="00CA0C69">
        <w:rPr>
          <w:rFonts w:ascii="Times New Roman" w:hAnsi="Times New Roman" w:cs="Times New Roman"/>
          <w:i/>
          <w:iCs/>
          <w:sz w:val="24"/>
          <w:szCs w:val="24"/>
          <w:shd w:val="clear" w:color="auto" w:fill="FFFFFF"/>
        </w:rPr>
        <w:t>Educational Sciences: Theory and Practice</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11</w:t>
      </w:r>
      <w:r w:rsidRPr="00CA0C69">
        <w:rPr>
          <w:rFonts w:ascii="Times New Roman" w:hAnsi="Times New Roman" w:cs="Times New Roman"/>
          <w:sz w:val="24"/>
          <w:szCs w:val="24"/>
          <w:shd w:val="clear" w:color="auto" w:fill="FFFFFF"/>
        </w:rPr>
        <w:t>(2), 1085-1089.</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Ramirez, G., Gunderson, E. A., Levine, S. C., &amp; Beilock, S. L. (2013). Math anxiety, working memory, and math achievement in early elementary school. </w:t>
      </w:r>
      <w:r w:rsidRPr="00CA0C69">
        <w:rPr>
          <w:rFonts w:ascii="Times New Roman" w:hAnsi="Times New Roman" w:cs="Times New Roman"/>
          <w:i/>
          <w:iCs/>
          <w:sz w:val="24"/>
          <w:szCs w:val="24"/>
          <w:shd w:val="clear" w:color="auto" w:fill="FFFFFF"/>
        </w:rPr>
        <w:t>Journal of Cognition and Development</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14</w:t>
      </w:r>
      <w:r w:rsidRPr="00CA0C69">
        <w:rPr>
          <w:rFonts w:ascii="Times New Roman" w:hAnsi="Times New Roman" w:cs="Times New Roman"/>
          <w:sz w:val="24"/>
          <w:szCs w:val="24"/>
          <w:shd w:val="clear" w:color="auto" w:fill="FFFFFF"/>
        </w:rPr>
        <w:t>(2), 187-202.</w:t>
      </w:r>
    </w:p>
    <w:p w:rsidR="0076000A" w:rsidRPr="00CA0C69" w:rsidRDefault="00481ABD" w:rsidP="00CA0C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Silvestre, B. S. (2015). Sustainable supply chain management in emerging economies: Environmental turbulence, institutional voids and sustainability trajectories. </w:t>
      </w:r>
      <w:r w:rsidRPr="00CA0C69">
        <w:rPr>
          <w:rFonts w:ascii="Times New Roman" w:hAnsi="Times New Roman" w:cs="Times New Roman"/>
          <w:i/>
          <w:iCs/>
          <w:color w:val="222222"/>
          <w:sz w:val="24"/>
          <w:szCs w:val="24"/>
          <w:shd w:val="clear" w:color="auto" w:fill="FFFFFF"/>
        </w:rPr>
        <w:t>International Journal of Production Economics</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167</w:t>
      </w:r>
      <w:r w:rsidRPr="00CA0C69">
        <w:rPr>
          <w:rFonts w:ascii="Times New Roman" w:hAnsi="Times New Roman" w:cs="Times New Roman"/>
          <w:color w:val="222222"/>
          <w:sz w:val="24"/>
          <w:szCs w:val="24"/>
          <w:shd w:val="clear" w:color="auto" w:fill="FFFFFF"/>
        </w:rPr>
        <w:t>, 156-169.</w:t>
      </w:r>
    </w:p>
    <w:p w:rsidR="0076000A" w:rsidRPr="00CA0C69" w:rsidRDefault="00481ABD" w:rsidP="00CA0C69">
      <w:pPr>
        <w:spacing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Smith, J.A. ed., 2015. </w:t>
      </w:r>
      <w:r w:rsidRPr="00CA0C69">
        <w:rPr>
          <w:rFonts w:ascii="Times New Roman" w:hAnsi="Times New Roman" w:cs="Times New Roman"/>
          <w:i/>
          <w:iCs/>
          <w:color w:val="222222"/>
          <w:sz w:val="24"/>
          <w:szCs w:val="24"/>
          <w:shd w:val="clear" w:color="auto" w:fill="FFFFFF"/>
        </w:rPr>
        <w:t>Qualitative psychology: A practical guide to research methods</w:t>
      </w:r>
      <w:r w:rsidRPr="00CA0C69">
        <w:rPr>
          <w:rFonts w:ascii="Times New Roman" w:hAnsi="Times New Roman" w:cs="Times New Roman"/>
          <w:color w:val="222222"/>
          <w:sz w:val="24"/>
          <w:szCs w:val="24"/>
          <w:shd w:val="clear" w:color="auto" w:fill="FFFFFF"/>
        </w:rPr>
        <w:t>. Sage.</w:t>
      </w:r>
    </w:p>
    <w:p w:rsidR="0076000A" w:rsidRPr="00CA0C69" w:rsidRDefault="00481ABD" w:rsidP="00CA0C69">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color w:val="222222"/>
          <w:sz w:val="24"/>
          <w:szCs w:val="24"/>
          <w:shd w:val="clear" w:color="auto" w:fill="FFFFFF"/>
        </w:rPr>
        <w:t>Taylor, S.J., Bogdan, R. and DeVault, M., 2015. </w:t>
      </w:r>
      <w:r w:rsidRPr="00CA0C69">
        <w:rPr>
          <w:rFonts w:ascii="Times New Roman" w:hAnsi="Times New Roman" w:cs="Times New Roman"/>
          <w:i/>
          <w:iCs/>
          <w:color w:val="222222"/>
          <w:sz w:val="24"/>
          <w:szCs w:val="24"/>
          <w:shd w:val="clear" w:color="auto" w:fill="FFFFFF"/>
        </w:rPr>
        <w:t>Introduction to qualitative research methods: A guidebook and resource</w:t>
      </w:r>
      <w:r w:rsidRPr="00CA0C69">
        <w:rPr>
          <w:rFonts w:ascii="Times New Roman" w:hAnsi="Times New Roman" w:cs="Times New Roman"/>
          <w:color w:val="222222"/>
          <w:sz w:val="24"/>
          <w:szCs w:val="24"/>
          <w:shd w:val="clear" w:color="auto" w:fill="FFFFFF"/>
        </w:rPr>
        <w:t>. John Wiley &amp; Sons.</w:t>
      </w:r>
    </w:p>
    <w:p w:rsidR="004F20B7" w:rsidRPr="00CA0C69" w:rsidRDefault="004F20B7" w:rsidP="00CA0C69">
      <w:pPr>
        <w:spacing w:line="480" w:lineRule="auto"/>
        <w:ind w:left="720" w:hanging="720"/>
        <w:rPr>
          <w:rFonts w:ascii="Times New Roman" w:hAnsi="Times New Roman" w:cs="Times New Roman"/>
          <w:sz w:val="24"/>
          <w:szCs w:val="24"/>
          <w:shd w:val="clear" w:color="auto" w:fill="FFFFFF"/>
        </w:rPr>
      </w:pPr>
    </w:p>
    <w:p w:rsidR="00870B96" w:rsidRPr="00CA0C69" w:rsidRDefault="00870B96" w:rsidP="00CA0C69">
      <w:pPr>
        <w:spacing w:line="480" w:lineRule="auto"/>
        <w:rPr>
          <w:rFonts w:ascii="Times New Roman" w:hAnsi="Times New Roman" w:cs="Times New Roman"/>
          <w:sz w:val="24"/>
          <w:szCs w:val="24"/>
          <w:shd w:val="clear" w:color="auto" w:fill="FFFFFF"/>
        </w:rPr>
      </w:pPr>
    </w:p>
    <w:p w:rsidR="00870B96" w:rsidRPr="00CA0C69" w:rsidRDefault="00481ABD" w:rsidP="00CA0C69">
      <w:pPr>
        <w:pStyle w:val="Heading1"/>
        <w:spacing w:line="480" w:lineRule="auto"/>
        <w:jc w:val="center"/>
        <w:rPr>
          <w:rFonts w:ascii="Times New Roman" w:hAnsi="Times New Roman" w:cs="Times New Roman"/>
          <w:color w:val="auto"/>
          <w:sz w:val="24"/>
          <w:szCs w:val="24"/>
          <w:shd w:val="clear" w:color="auto" w:fill="FFFFFF"/>
        </w:rPr>
      </w:pPr>
      <w:bookmarkStart w:id="9" w:name="_Toc505867636"/>
      <w:r w:rsidRPr="00CA0C69">
        <w:rPr>
          <w:rFonts w:ascii="Times New Roman" w:hAnsi="Times New Roman" w:cs="Times New Roman"/>
          <w:color w:val="auto"/>
          <w:sz w:val="24"/>
          <w:szCs w:val="24"/>
          <w:shd w:val="clear" w:color="auto" w:fill="FFFFFF"/>
        </w:rPr>
        <w:lastRenderedPageBreak/>
        <w:t>11. Appendices</w:t>
      </w:r>
      <w:bookmarkEnd w:id="9"/>
    </w:p>
    <w:p w:rsidR="00870B96" w:rsidRPr="00CA0C69" w:rsidRDefault="00481ABD" w:rsidP="00CA0C69">
      <w:pPr>
        <w:pStyle w:val="Heading2"/>
        <w:spacing w:line="480" w:lineRule="auto"/>
        <w:rPr>
          <w:rFonts w:ascii="Times New Roman" w:hAnsi="Times New Roman" w:cs="Times New Roman"/>
          <w:color w:val="auto"/>
          <w:sz w:val="24"/>
          <w:szCs w:val="24"/>
          <w:shd w:val="clear" w:color="auto" w:fill="FFFFFF"/>
        </w:rPr>
      </w:pPr>
      <w:bookmarkStart w:id="10" w:name="_Toc505867637"/>
      <w:r w:rsidRPr="00CA0C69">
        <w:rPr>
          <w:rFonts w:ascii="Times New Roman" w:hAnsi="Times New Roman" w:cs="Times New Roman"/>
          <w:color w:val="auto"/>
          <w:sz w:val="24"/>
          <w:szCs w:val="24"/>
          <w:shd w:val="clear" w:color="auto" w:fill="FFFFFF"/>
        </w:rPr>
        <w:t>11.1 Appendix 1</w:t>
      </w:r>
      <w:bookmarkEnd w:id="10"/>
      <w:r w:rsidRPr="00CA0C69">
        <w:rPr>
          <w:rFonts w:ascii="Times New Roman" w:hAnsi="Times New Roman" w:cs="Times New Roman"/>
          <w:color w:val="auto"/>
          <w:sz w:val="24"/>
          <w:szCs w:val="24"/>
          <w:shd w:val="clear" w:color="auto" w:fill="FFFFFF"/>
        </w:rPr>
        <w:t xml:space="preserve">: </w:t>
      </w:r>
      <w:r w:rsidRPr="00CA0C69">
        <w:rPr>
          <w:rFonts w:ascii="Times New Roman" w:hAnsi="Times New Roman" w:cs="Times New Roman"/>
          <w:bCs w:val="0"/>
          <w:color w:val="auto"/>
          <w:sz w:val="24"/>
          <w:szCs w:val="24"/>
        </w:rPr>
        <w:t>Descriptive Statistics of the Items in the R-MANX</w:t>
      </w:r>
    </w:p>
    <w:p w:rsidR="00870B96" w:rsidRPr="00CA0C69" w:rsidRDefault="00481ABD" w:rsidP="00CA0C69">
      <w:pPr>
        <w:spacing w:line="480" w:lineRule="auto"/>
        <w:rPr>
          <w:rFonts w:ascii="Times New Roman" w:hAnsi="Times New Roman" w:cs="Times New Roman"/>
          <w:sz w:val="24"/>
          <w:szCs w:val="24"/>
        </w:rPr>
      </w:pPr>
      <w:r w:rsidRPr="00CA0C69">
        <w:rPr>
          <w:rFonts w:ascii="Times New Roman" w:hAnsi="Times New Roman" w:cs="Times New Roman"/>
          <w:noProof/>
          <w:sz w:val="24"/>
          <w:szCs w:val="24"/>
        </w:rPr>
        <w:t xml:space="preserve">                             </w:t>
      </w:r>
      <w:r w:rsidRPr="00CA0C69">
        <w:rPr>
          <w:rFonts w:ascii="Times New Roman" w:hAnsi="Times New Roman" w:cs="Times New Roman"/>
          <w:noProof/>
          <w:sz w:val="24"/>
          <w:szCs w:val="24"/>
        </w:rPr>
        <w:drawing>
          <wp:inline distT="0" distB="0" distL="0" distR="0">
            <wp:extent cx="2304467" cy="2230016"/>
            <wp:effectExtent l="19050" t="0" r="583"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15146" name="Picture 1"/>
                    <pic:cNvPicPr>
                      <a:picLocks noChangeAspect="1" noChangeArrowheads="1"/>
                    </pic:cNvPicPr>
                  </pic:nvPicPr>
                  <pic:blipFill>
                    <a:blip r:embed="rId9" cstate="print"/>
                    <a:srcRect l="61163"/>
                    <a:stretch>
                      <a:fillRect/>
                    </a:stretch>
                  </pic:blipFill>
                  <pic:spPr bwMode="auto">
                    <a:xfrm>
                      <a:off x="0" y="0"/>
                      <a:ext cx="2304467" cy="2230016"/>
                    </a:xfrm>
                    <a:prstGeom prst="rect">
                      <a:avLst/>
                    </a:prstGeom>
                    <a:noFill/>
                    <a:ln w="9525">
                      <a:noFill/>
                      <a:miter lim="800000"/>
                      <a:headEnd/>
                      <a:tailEnd/>
                    </a:ln>
                  </pic:spPr>
                </pic:pic>
              </a:graphicData>
            </a:graphic>
          </wp:inline>
        </w:drawing>
      </w:r>
    </w:p>
    <w:p w:rsidR="00870B96" w:rsidRPr="00CA0C69" w:rsidRDefault="00481ABD" w:rsidP="00CA0C69">
      <w:pPr>
        <w:pStyle w:val="Heading2"/>
        <w:spacing w:line="480" w:lineRule="auto"/>
        <w:rPr>
          <w:rFonts w:ascii="Times New Roman" w:hAnsi="Times New Roman" w:cs="Times New Roman"/>
          <w:color w:val="auto"/>
          <w:sz w:val="24"/>
          <w:szCs w:val="24"/>
          <w:shd w:val="clear" w:color="auto" w:fill="FFFFFF"/>
        </w:rPr>
      </w:pPr>
      <w:bookmarkStart w:id="11" w:name="_Toc505867638"/>
      <w:r w:rsidRPr="00CA0C69">
        <w:rPr>
          <w:rFonts w:ascii="Times New Roman" w:hAnsi="Times New Roman" w:cs="Times New Roman"/>
          <w:color w:val="auto"/>
          <w:sz w:val="24"/>
          <w:szCs w:val="24"/>
          <w:shd w:val="clear" w:color="auto" w:fill="FFFFFF"/>
        </w:rPr>
        <w:lastRenderedPageBreak/>
        <w:t>11.2 Appendix 2</w:t>
      </w:r>
      <w:bookmarkEnd w:id="11"/>
      <w:r w:rsidRPr="00CA0C69">
        <w:rPr>
          <w:rFonts w:ascii="Times New Roman" w:hAnsi="Times New Roman" w:cs="Times New Roman"/>
          <w:color w:val="auto"/>
          <w:sz w:val="24"/>
          <w:szCs w:val="24"/>
          <w:shd w:val="clear" w:color="auto" w:fill="FFFFFF"/>
        </w:rPr>
        <w:t>:</w:t>
      </w:r>
      <w:r w:rsidRPr="00CA0C69">
        <w:rPr>
          <w:rFonts w:ascii="Times New Roman" w:hAnsi="Times New Roman" w:cs="Times New Roman"/>
          <w:b w:val="0"/>
          <w:bCs w:val="0"/>
          <w:color w:val="auto"/>
          <w:sz w:val="24"/>
          <w:szCs w:val="24"/>
        </w:rPr>
        <w:t xml:space="preserve"> </w:t>
      </w:r>
      <w:r w:rsidRPr="00CA0C69">
        <w:rPr>
          <w:rFonts w:ascii="Times New Roman" w:hAnsi="Times New Roman" w:cs="Times New Roman"/>
          <w:bCs w:val="0"/>
          <w:color w:val="auto"/>
          <w:sz w:val="24"/>
          <w:szCs w:val="24"/>
        </w:rPr>
        <w:t xml:space="preserve">Pattern and structure matrix for PCA with the oblimin rotation of three-factor solution of R-MANX </w:t>
      </w:r>
    </w:p>
    <w:p w:rsidR="00870B96" w:rsidRPr="00CA0C69" w:rsidRDefault="00481ABD" w:rsidP="00CA0C69">
      <w:pPr>
        <w:spacing w:line="480" w:lineRule="auto"/>
        <w:rPr>
          <w:rFonts w:ascii="Times New Roman" w:hAnsi="Times New Roman" w:cs="Times New Roman"/>
          <w:sz w:val="24"/>
          <w:szCs w:val="24"/>
        </w:rPr>
      </w:pPr>
      <w:r w:rsidRPr="00CA0C69">
        <w:rPr>
          <w:rFonts w:ascii="Times New Roman" w:hAnsi="Times New Roman" w:cs="Times New Roman"/>
          <w:noProof/>
          <w:sz w:val="24"/>
          <w:szCs w:val="24"/>
        </w:rPr>
        <w:drawing>
          <wp:inline distT="0" distB="0" distL="0" distR="0">
            <wp:extent cx="5695950" cy="5257800"/>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37107" name="Picture 4"/>
                    <pic:cNvPicPr>
                      <a:picLocks noChangeAspect="1" noChangeArrowheads="1"/>
                    </pic:cNvPicPr>
                  </pic:nvPicPr>
                  <pic:blipFill>
                    <a:blip r:embed="rId10" cstate="print"/>
                    <a:stretch>
                      <a:fillRect/>
                    </a:stretch>
                  </pic:blipFill>
                  <pic:spPr bwMode="auto">
                    <a:xfrm>
                      <a:off x="0" y="0"/>
                      <a:ext cx="5695950" cy="5257800"/>
                    </a:xfrm>
                    <a:prstGeom prst="rect">
                      <a:avLst/>
                    </a:prstGeom>
                    <a:noFill/>
                    <a:ln w="9525">
                      <a:noFill/>
                      <a:miter lim="800000"/>
                      <a:headEnd/>
                      <a:tailEnd/>
                    </a:ln>
                  </pic:spPr>
                </pic:pic>
              </a:graphicData>
            </a:graphic>
          </wp:inline>
        </w:drawing>
      </w:r>
    </w:p>
    <w:p w:rsidR="00870B96" w:rsidRPr="00CA0C69" w:rsidRDefault="00870B96" w:rsidP="00CA0C69">
      <w:pPr>
        <w:spacing w:line="480" w:lineRule="auto"/>
        <w:rPr>
          <w:rFonts w:ascii="Times New Roman" w:hAnsi="Times New Roman" w:cs="Times New Roman"/>
          <w:sz w:val="24"/>
          <w:szCs w:val="24"/>
        </w:rPr>
      </w:pPr>
    </w:p>
    <w:p w:rsidR="00870B96" w:rsidRPr="00CA0C69" w:rsidRDefault="00870B96" w:rsidP="00CA0C69">
      <w:pPr>
        <w:pStyle w:val="Heading1"/>
        <w:spacing w:line="480" w:lineRule="auto"/>
        <w:jc w:val="center"/>
        <w:rPr>
          <w:rFonts w:ascii="Times New Roman" w:hAnsi="Times New Roman" w:cs="Times New Roman"/>
          <w:sz w:val="24"/>
          <w:szCs w:val="24"/>
        </w:rPr>
      </w:pPr>
    </w:p>
    <w:p w:rsidR="00F97182" w:rsidRPr="00CA0C69" w:rsidRDefault="00F97182" w:rsidP="00CA0C69">
      <w:pPr>
        <w:spacing w:line="480" w:lineRule="auto"/>
        <w:rPr>
          <w:rFonts w:ascii="Times New Roman" w:hAnsi="Times New Roman" w:cs="Times New Roman"/>
          <w:b/>
          <w:sz w:val="24"/>
          <w:szCs w:val="24"/>
        </w:rPr>
      </w:pPr>
    </w:p>
    <w:sectPr w:rsidR="00F97182" w:rsidRPr="00CA0C69" w:rsidSect="00884E1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85E" w:rsidRDefault="00EC785E" w:rsidP="00C108DB">
      <w:pPr>
        <w:spacing w:after="0" w:line="240" w:lineRule="auto"/>
      </w:pPr>
      <w:r>
        <w:separator/>
      </w:r>
    </w:p>
  </w:endnote>
  <w:endnote w:type="continuationSeparator" w:id="0">
    <w:p w:rsidR="00EC785E" w:rsidRDefault="00EC785E" w:rsidP="00C108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83" w:usb1="08070000" w:usb2="00000010" w:usb3="00000000" w:csb0="0002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85E" w:rsidRDefault="00EC785E" w:rsidP="00C108DB">
      <w:pPr>
        <w:spacing w:after="0" w:line="240" w:lineRule="auto"/>
      </w:pPr>
      <w:r>
        <w:separator/>
      </w:r>
    </w:p>
  </w:footnote>
  <w:footnote w:type="continuationSeparator" w:id="0">
    <w:p w:rsidR="00EC785E" w:rsidRDefault="00EC785E" w:rsidP="00C108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41274"/>
      <w:docPartObj>
        <w:docPartGallery w:val="Page Numbers (Top of Page)"/>
        <w:docPartUnique/>
      </w:docPartObj>
    </w:sdtPr>
    <w:sdtContent>
      <w:p w:rsidR="00884E1A" w:rsidRPr="00884E1A" w:rsidRDefault="00481ABD" w:rsidP="00884E1A">
        <w:pPr>
          <w:pStyle w:val="Header"/>
          <w:spacing w:line="480" w:lineRule="auto"/>
          <w:rPr>
            <w:rFonts w:ascii="Times New Roman" w:hAnsi="Times New Roman" w:cs="Times New Roman"/>
            <w:sz w:val="24"/>
            <w:szCs w:val="24"/>
          </w:rPr>
        </w:pPr>
        <w:r w:rsidRPr="00884E1A">
          <w:rPr>
            <w:rFonts w:ascii="Times New Roman" w:hAnsi="Times New Roman" w:cs="Times New Roman"/>
            <w:sz w:val="24"/>
            <w:szCs w:val="24"/>
          </w:rPr>
          <w:t xml:space="preserve">SUSTAINABILITY OF INDUSTRIAL SUPPLY COMPANIES </w:t>
        </w:r>
        <w:r>
          <w:rPr>
            <w:rFonts w:ascii="Times New Roman" w:hAnsi="Times New Roman" w:cs="Times New Roman"/>
            <w:sz w:val="24"/>
            <w:szCs w:val="24"/>
          </w:rPr>
          <w:tab/>
        </w:r>
        <w:r>
          <w:rPr>
            <w:rFonts w:ascii="Times New Roman" w:hAnsi="Times New Roman" w:cs="Times New Roman"/>
            <w:sz w:val="24"/>
            <w:szCs w:val="24"/>
          </w:rPr>
          <w:tab/>
        </w:r>
        <w:r w:rsidR="0024026C" w:rsidRPr="00884E1A">
          <w:rPr>
            <w:rFonts w:ascii="Times New Roman" w:hAnsi="Times New Roman" w:cs="Times New Roman"/>
            <w:sz w:val="24"/>
            <w:szCs w:val="24"/>
          </w:rPr>
          <w:fldChar w:fldCharType="begin"/>
        </w:r>
        <w:r w:rsidRPr="00884E1A">
          <w:rPr>
            <w:rFonts w:ascii="Times New Roman" w:hAnsi="Times New Roman" w:cs="Times New Roman"/>
            <w:sz w:val="24"/>
            <w:szCs w:val="24"/>
          </w:rPr>
          <w:instrText xml:space="preserve"> PAGE   \* MERGEFORMAT </w:instrText>
        </w:r>
        <w:r w:rsidR="0024026C" w:rsidRPr="00884E1A">
          <w:rPr>
            <w:rFonts w:ascii="Times New Roman" w:hAnsi="Times New Roman" w:cs="Times New Roman"/>
            <w:sz w:val="24"/>
            <w:szCs w:val="24"/>
          </w:rPr>
          <w:fldChar w:fldCharType="separate"/>
        </w:r>
        <w:r w:rsidR="00796844">
          <w:rPr>
            <w:rFonts w:ascii="Times New Roman" w:hAnsi="Times New Roman" w:cs="Times New Roman"/>
            <w:noProof/>
            <w:sz w:val="24"/>
            <w:szCs w:val="24"/>
          </w:rPr>
          <w:t>29</w:t>
        </w:r>
        <w:r w:rsidR="0024026C" w:rsidRPr="00884E1A">
          <w:rPr>
            <w:rFonts w:ascii="Times New Roman" w:hAnsi="Times New Roman" w:cs="Times New Roman"/>
            <w:sz w:val="24"/>
            <w:szCs w:val="24"/>
          </w:rPr>
          <w:fldChar w:fldCharType="end"/>
        </w:r>
      </w:p>
    </w:sdtContent>
  </w:sdt>
  <w:p w:rsidR="00884E1A" w:rsidRDefault="00884E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1272"/>
      <w:docPartObj>
        <w:docPartGallery w:val="Page Numbers (Top of Page)"/>
        <w:docPartUnique/>
      </w:docPartObj>
    </w:sdtPr>
    <w:sdtContent>
      <w:p w:rsidR="00884E1A" w:rsidRPr="00884E1A" w:rsidRDefault="00481ABD" w:rsidP="00884E1A">
        <w:pPr>
          <w:pStyle w:val="Header"/>
          <w:spacing w:line="480" w:lineRule="auto"/>
          <w:rPr>
            <w:rFonts w:ascii="Times New Roman" w:hAnsi="Times New Roman" w:cs="Times New Roman"/>
            <w:sz w:val="24"/>
            <w:szCs w:val="24"/>
          </w:rPr>
        </w:pPr>
        <w:r w:rsidRPr="00884E1A">
          <w:rPr>
            <w:rFonts w:ascii="Times New Roman" w:hAnsi="Times New Roman" w:cs="Times New Roman"/>
            <w:sz w:val="24"/>
            <w:szCs w:val="24"/>
          </w:rPr>
          <w:t xml:space="preserve">Running head: SUSTAINABILITY OF INDUSTRIAL SUPPLY COMPANIES </w:t>
        </w:r>
        <w:r>
          <w:rPr>
            <w:rFonts w:ascii="Times New Roman" w:hAnsi="Times New Roman" w:cs="Times New Roman"/>
            <w:sz w:val="24"/>
            <w:szCs w:val="24"/>
          </w:rPr>
          <w:tab/>
        </w:r>
        <w:r>
          <w:rPr>
            <w:rFonts w:ascii="Times New Roman" w:hAnsi="Times New Roman" w:cs="Times New Roman"/>
            <w:sz w:val="24"/>
            <w:szCs w:val="24"/>
          </w:rPr>
          <w:tab/>
        </w:r>
        <w:r w:rsidR="0024026C" w:rsidRPr="00884E1A">
          <w:rPr>
            <w:rFonts w:ascii="Times New Roman" w:hAnsi="Times New Roman" w:cs="Times New Roman"/>
            <w:sz w:val="24"/>
            <w:szCs w:val="24"/>
          </w:rPr>
          <w:fldChar w:fldCharType="begin"/>
        </w:r>
        <w:r w:rsidRPr="00884E1A">
          <w:rPr>
            <w:rFonts w:ascii="Times New Roman" w:hAnsi="Times New Roman" w:cs="Times New Roman"/>
            <w:sz w:val="24"/>
            <w:szCs w:val="24"/>
          </w:rPr>
          <w:instrText xml:space="preserve"> PAGE   \* MERGEFORMAT </w:instrText>
        </w:r>
        <w:r w:rsidR="0024026C" w:rsidRPr="00884E1A">
          <w:rPr>
            <w:rFonts w:ascii="Times New Roman" w:hAnsi="Times New Roman" w:cs="Times New Roman"/>
            <w:sz w:val="24"/>
            <w:szCs w:val="24"/>
          </w:rPr>
          <w:fldChar w:fldCharType="separate"/>
        </w:r>
        <w:r w:rsidR="00796844">
          <w:rPr>
            <w:rFonts w:ascii="Times New Roman" w:hAnsi="Times New Roman" w:cs="Times New Roman"/>
            <w:noProof/>
            <w:sz w:val="24"/>
            <w:szCs w:val="24"/>
          </w:rPr>
          <w:t>1</w:t>
        </w:r>
        <w:r w:rsidR="0024026C" w:rsidRPr="00884E1A">
          <w:rPr>
            <w:rFonts w:ascii="Times New Roman" w:hAnsi="Times New Roman" w:cs="Times New Roman"/>
            <w:sz w:val="24"/>
            <w:szCs w:val="24"/>
          </w:rPr>
          <w:fldChar w:fldCharType="end"/>
        </w:r>
        <w:r w:rsidRPr="00884E1A">
          <w:rPr>
            <w:rFonts w:ascii="Times New Roman" w:hAnsi="Times New Roman" w:cs="Times New Roman"/>
            <w:sz w:val="24"/>
            <w:szCs w:val="24"/>
          </w:rPr>
          <w:t xml:space="preserve"> </w:t>
        </w:r>
      </w:p>
      <w:p w:rsidR="00884E1A" w:rsidRDefault="0024026C">
        <w:pPr>
          <w:pStyle w:val="Header"/>
        </w:pPr>
      </w:p>
    </w:sdtContent>
  </w:sdt>
  <w:p w:rsidR="00884E1A" w:rsidRDefault="00884E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65E21"/>
    <w:multiLevelType w:val="hybridMultilevel"/>
    <w:tmpl w:val="A0E6183A"/>
    <w:lvl w:ilvl="0" w:tplc="3A8C888C">
      <w:start w:val="1"/>
      <w:numFmt w:val="bullet"/>
      <w:lvlText w:val=""/>
      <w:lvlJc w:val="left"/>
      <w:pPr>
        <w:ind w:left="720" w:hanging="360"/>
      </w:pPr>
      <w:rPr>
        <w:rFonts w:ascii="Wingdings" w:hAnsi="Wingdings" w:hint="default"/>
      </w:rPr>
    </w:lvl>
    <w:lvl w:ilvl="1" w:tplc="0A82792A" w:tentative="1">
      <w:start w:val="1"/>
      <w:numFmt w:val="bullet"/>
      <w:lvlText w:val="o"/>
      <w:lvlJc w:val="left"/>
      <w:pPr>
        <w:ind w:left="1440" w:hanging="360"/>
      </w:pPr>
      <w:rPr>
        <w:rFonts w:ascii="Courier New" w:hAnsi="Courier New" w:cs="Courier New" w:hint="default"/>
      </w:rPr>
    </w:lvl>
    <w:lvl w:ilvl="2" w:tplc="CE40046C" w:tentative="1">
      <w:start w:val="1"/>
      <w:numFmt w:val="bullet"/>
      <w:lvlText w:val=""/>
      <w:lvlJc w:val="left"/>
      <w:pPr>
        <w:ind w:left="2160" w:hanging="360"/>
      </w:pPr>
      <w:rPr>
        <w:rFonts w:ascii="Wingdings" w:hAnsi="Wingdings" w:hint="default"/>
      </w:rPr>
    </w:lvl>
    <w:lvl w:ilvl="3" w:tplc="117C0A04" w:tentative="1">
      <w:start w:val="1"/>
      <w:numFmt w:val="bullet"/>
      <w:lvlText w:val=""/>
      <w:lvlJc w:val="left"/>
      <w:pPr>
        <w:ind w:left="2880" w:hanging="360"/>
      </w:pPr>
      <w:rPr>
        <w:rFonts w:ascii="Symbol" w:hAnsi="Symbol" w:hint="default"/>
      </w:rPr>
    </w:lvl>
    <w:lvl w:ilvl="4" w:tplc="BCEE6874" w:tentative="1">
      <w:start w:val="1"/>
      <w:numFmt w:val="bullet"/>
      <w:lvlText w:val="o"/>
      <w:lvlJc w:val="left"/>
      <w:pPr>
        <w:ind w:left="3600" w:hanging="360"/>
      </w:pPr>
      <w:rPr>
        <w:rFonts w:ascii="Courier New" w:hAnsi="Courier New" w:cs="Courier New" w:hint="default"/>
      </w:rPr>
    </w:lvl>
    <w:lvl w:ilvl="5" w:tplc="C9FA1822" w:tentative="1">
      <w:start w:val="1"/>
      <w:numFmt w:val="bullet"/>
      <w:lvlText w:val=""/>
      <w:lvlJc w:val="left"/>
      <w:pPr>
        <w:ind w:left="4320" w:hanging="360"/>
      </w:pPr>
      <w:rPr>
        <w:rFonts w:ascii="Wingdings" w:hAnsi="Wingdings" w:hint="default"/>
      </w:rPr>
    </w:lvl>
    <w:lvl w:ilvl="6" w:tplc="286E88D4" w:tentative="1">
      <w:start w:val="1"/>
      <w:numFmt w:val="bullet"/>
      <w:lvlText w:val=""/>
      <w:lvlJc w:val="left"/>
      <w:pPr>
        <w:ind w:left="5040" w:hanging="360"/>
      </w:pPr>
      <w:rPr>
        <w:rFonts w:ascii="Symbol" w:hAnsi="Symbol" w:hint="default"/>
      </w:rPr>
    </w:lvl>
    <w:lvl w:ilvl="7" w:tplc="AEDA8E26" w:tentative="1">
      <w:start w:val="1"/>
      <w:numFmt w:val="bullet"/>
      <w:lvlText w:val="o"/>
      <w:lvlJc w:val="left"/>
      <w:pPr>
        <w:ind w:left="5760" w:hanging="360"/>
      </w:pPr>
      <w:rPr>
        <w:rFonts w:ascii="Courier New" w:hAnsi="Courier New" w:cs="Courier New" w:hint="default"/>
      </w:rPr>
    </w:lvl>
    <w:lvl w:ilvl="8" w:tplc="E8942096" w:tentative="1">
      <w:start w:val="1"/>
      <w:numFmt w:val="bullet"/>
      <w:lvlText w:val=""/>
      <w:lvlJc w:val="left"/>
      <w:pPr>
        <w:ind w:left="6480" w:hanging="360"/>
      </w:pPr>
      <w:rPr>
        <w:rFonts w:ascii="Wingdings" w:hAnsi="Wingdings" w:hint="default"/>
      </w:rPr>
    </w:lvl>
  </w:abstractNum>
  <w:abstractNum w:abstractNumId="1">
    <w:nsid w:val="5B89644B"/>
    <w:multiLevelType w:val="hybridMultilevel"/>
    <w:tmpl w:val="D79C3B7A"/>
    <w:lvl w:ilvl="0" w:tplc="4A2E4B56">
      <w:start w:val="1"/>
      <w:numFmt w:val="bullet"/>
      <w:lvlText w:val=""/>
      <w:lvlJc w:val="left"/>
      <w:pPr>
        <w:ind w:left="1440" w:hanging="360"/>
      </w:pPr>
      <w:rPr>
        <w:rFonts w:ascii="Wingdings" w:hAnsi="Wingdings" w:hint="default"/>
      </w:rPr>
    </w:lvl>
    <w:lvl w:ilvl="1" w:tplc="86E6CBC8" w:tentative="1">
      <w:start w:val="1"/>
      <w:numFmt w:val="bullet"/>
      <w:lvlText w:val="o"/>
      <w:lvlJc w:val="left"/>
      <w:pPr>
        <w:ind w:left="2160" w:hanging="360"/>
      </w:pPr>
      <w:rPr>
        <w:rFonts w:ascii="Courier New" w:hAnsi="Courier New" w:cs="Courier New" w:hint="default"/>
      </w:rPr>
    </w:lvl>
    <w:lvl w:ilvl="2" w:tplc="319C752A" w:tentative="1">
      <w:start w:val="1"/>
      <w:numFmt w:val="bullet"/>
      <w:lvlText w:val=""/>
      <w:lvlJc w:val="left"/>
      <w:pPr>
        <w:ind w:left="2880" w:hanging="360"/>
      </w:pPr>
      <w:rPr>
        <w:rFonts w:ascii="Wingdings" w:hAnsi="Wingdings" w:hint="default"/>
      </w:rPr>
    </w:lvl>
    <w:lvl w:ilvl="3" w:tplc="383CC262" w:tentative="1">
      <w:start w:val="1"/>
      <w:numFmt w:val="bullet"/>
      <w:lvlText w:val=""/>
      <w:lvlJc w:val="left"/>
      <w:pPr>
        <w:ind w:left="3600" w:hanging="360"/>
      </w:pPr>
      <w:rPr>
        <w:rFonts w:ascii="Symbol" w:hAnsi="Symbol" w:hint="default"/>
      </w:rPr>
    </w:lvl>
    <w:lvl w:ilvl="4" w:tplc="CCE624F4" w:tentative="1">
      <w:start w:val="1"/>
      <w:numFmt w:val="bullet"/>
      <w:lvlText w:val="o"/>
      <w:lvlJc w:val="left"/>
      <w:pPr>
        <w:ind w:left="4320" w:hanging="360"/>
      </w:pPr>
      <w:rPr>
        <w:rFonts w:ascii="Courier New" w:hAnsi="Courier New" w:cs="Courier New" w:hint="default"/>
      </w:rPr>
    </w:lvl>
    <w:lvl w:ilvl="5" w:tplc="06AA05A4" w:tentative="1">
      <w:start w:val="1"/>
      <w:numFmt w:val="bullet"/>
      <w:lvlText w:val=""/>
      <w:lvlJc w:val="left"/>
      <w:pPr>
        <w:ind w:left="5040" w:hanging="360"/>
      </w:pPr>
      <w:rPr>
        <w:rFonts w:ascii="Wingdings" w:hAnsi="Wingdings" w:hint="default"/>
      </w:rPr>
    </w:lvl>
    <w:lvl w:ilvl="6" w:tplc="A7E465E0" w:tentative="1">
      <w:start w:val="1"/>
      <w:numFmt w:val="bullet"/>
      <w:lvlText w:val=""/>
      <w:lvlJc w:val="left"/>
      <w:pPr>
        <w:ind w:left="5760" w:hanging="360"/>
      </w:pPr>
      <w:rPr>
        <w:rFonts w:ascii="Symbol" w:hAnsi="Symbol" w:hint="default"/>
      </w:rPr>
    </w:lvl>
    <w:lvl w:ilvl="7" w:tplc="ACBE9F90" w:tentative="1">
      <w:start w:val="1"/>
      <w:numFmt w:val="bullet"/>
      <w:lvlText w:val="o"/>
      <w:lvlJc w:val="left"/>
      <w:pPr>
        <w:ind w:left="6480" w:hanging="360"/>
      </w:pPr>
      <w:rPr>
        <w:rFonts w:ascii="Courier New" w:hAnsi="Courier New" w:cs="Courier New" w:hint="default"/>
      </w:rPr>
    </w:lvl>
    <w:lvl w:ilvl="8" w:tplc="EA3812A8" w:tentative="1">
      <w:start w:val="1"/>
      <w:numFmt w:val="bullet"/>
      <w:lvlText w:val=""/>
      <w:lvlJc w:val="left"/>
      <w:pPr>
        <w:ind w:left="7200" w:hanging="360"/>
      </w:pPr>
      <w:rPr>
        <w:rFonts w:ascii="Wingdings" w:hAnsi="Wingdings" w:hint="default"/>
      </w:rPr>
    </w:lvl>
  </w:abstractNum>
  <w:abstractNum w:abstractNumId="2">
    <w:nsid w:val="63F62369"/>
    <w:multiLevelType w:val="multilevel"/>
    <w:tmpl w:val="4B08C9D4"/>
    <w:lvl w:ilvl="0">
      <w:start w:val="1"/>
      <w:numFmt w:val="decimal"/>
      <w:lvlText w:val="%1.0"/>
      <w:lvlJc w:val="left"/>
      <w:pPr>
        <w:ind w:left="42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F4C3F"/>
    <w:rsid w:val="00042695"/>
    <w:rsid w:val="00095D60"/>
    <w:rsid w:val="000C6C3D"/>
    <w:rsid w:val="000F3662"/>
    <w:rsid w:val="000F6C9D"/>
    <w:rsid w:val="0015011C"/>
    <w:rsid w:val="001A4950"/>
    <w:rsid w:val="001A5EC4"/>
    <w:rsid w:val="001C0464"/>
    <w:rsid w:val="001F568B"/>
    <w:rsid w:val="00231A64"/>
    <w:rsid w:val="0024026C"/>
    <w:rsid w:val="002C7983"/>
    <w:rsid w:val="003368FB"/>
    <w:rsid w:val="00336DE8"/>
    <w:rsid w:val="00360B84"/>
    <w:rsid w:val="003B5128"/>
    <w:rsid w:val="003C5547"/>
    <w:rsid w:val="0045050F"/>
    <w:rsid w:val="004727A4"/>
    <w:rsid w:val="00481ABD"/>
    <w:rsid w:val="00483918"/>
    <w:rsid w:val="004A71D6"/>
    <w:rsid w:val="004B2FD8"/>
    <w:rsid w:val="004F20B7"/>
    <w:rsid w:val="00531A80"/>
    <w:rsid w:val="00556407"/>
    <w:rsid w:val="0055763B"/>
    <w:rsid w:val="00566083"/>
    <w:rsid w:val="005702A5"/>
    <w:rsid w:val="0057397A"/>
    <w:rsid w:val="005D569B"/>
    <w:rsid w:val="005E6ECC"/>
    <w:rsid w:val="00601374"/>
    <w:rsid w:val="0065425F"/>
    <w:rsid w:val="00687542"/>
    <w:rsid w:val="006960F0"/>
    <w:rsid w:val="006B4968"/>
    <w:rsid w:val="006C7D46"/>
    <w:rsid w:val="0076000A"/>
    <w:rsid w:val="00781144"/>
    <w:rsid w:val="00796844"/>
    <w:rsid w:val="007A0948"/>
    <w:rsid w:val="007D322A"/>
    <w:rsid w:val="008662AE"/>
    <w:rsid w:val="00870B96"/>
    <w:rsid w:val="008716A9"/>
    <w:rsid w:val="00884E1A"/>
    <w:rsid w:val="00894765"/>
    <w:rsid w:val="00925467"/>
    <w:rsid w:val="00963402"/>
    <w:rsid w:val="00975FE3"/>
    <w:rsid w:val="00A814AB"/>
    <w:rsid w:val="00AD2C00"/>
    <w:rsid w:val="00B32895"/>
    <w:rsid w:val="00B400D8"/>
    <w:rsid w:val="00B619C5"/>
    <w:rsid w:val="00B813B7"/>
    <w:rsid w:val="00BB3953"/>
    <w:rsid w:val="00BC3977"/>
    <w:rsid w:val="00BC4AD3"/>
    <w:rsid w:val="00C108DB"/>
    <w:rsid w:val="00C1119F"/>
    <w:rsid w:val="00C34D42"/>
    <w:rsid w:val="00C86FF0"/>
    <w:rsid w:val="00C87342"/>
    <w:rsid w:val="00CA0C69"/>
    <w:rsid w:val="00CD4BBB"/>
    <w:rsid w:val="00D02E3C"/>
    <w:rsid w:val="00D16058"/>
    <w:rsid w:val="00D32DE5"/>
    <w:rsid w:val="00D510AF"/>
    <w:rsid w:val="00D51C65"/>
    <w:rsid w:val="00D80C40"/>
    <w:rsid w:val="00E07D80"/>
    <w:rsid w:val="00E67662"/>
    <w:rsid w:val="00E72C9A"/>
    <w:rsid w:val="00EC785E"/>
    <w:rsid w:val="00ED4CC2"/>
    <w:rsid w:val="00EF4C3F"/>
    <w:rsid w:val="00F12ABB"/>
    <w:rsid w:val="00F25833"/>
    <w:rsid w:val="00F97182"/>
    <w:rsid w:val="00FC148E"/>
    <w:rsid w:val="00FC2B4C"/>
    <w:rsid w:val="00FF4D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C3F"/>
    <w:rPr>
      <w:rFonts w:eastAsiaTheme="minorEastAsia"/>
    </w:rPr>
  </w:style>
  <w:style w:type="paragraph" w:styleId="Heading1">
    <w:name w:val="heading 1"/>
    <w:basedOn w:val="Normal"/>
    <w:next w:val="Normal"/>
    <w:link w:val="Heading1Char"/>
    <w:uiPriority w:val="9"/>
    <w:qFormat/>
    <w:rsid w:val="00EF4C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4C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C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F4C3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F4C3F"/>
    <w:pPr>
      <w:ind w:left="720"/>
      <w:contextualSpacing/>
    </w:pPr>
  </w:style>
  <w:style w:type="paragraph" w:styleId="BalloonText">
    <w:name w:val="Balloon Text"/>
    <w:basedOn w:val="Normal"/>
    <w:link w:val="BalloonTextChar"/>
    <w:uiPriority w:val="99"/>
    <w:semiHidden/>
    <w:unhideWhenUsed/>
    <w:rsid w:val="00EF4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C3F"/>
    <w:rPr>
      <w:rFonts w:ascii="Tahoma" w:eastAsiaTheme="minorEastAsia" w:hAnsi="Tahoma" w:cs="Tahoma"/>
      <w:sz w:val="16"/>
      <w:szCs w:val="16"/>
    </w:rPr>
  </w:style>
  <w:style w:type="paragraph" w:styleId="Header">
    <w:name w:val="header"/>
    <w:basedOn w:val="Normal"/>
    <w:link w:val="HeaderChar"/>
    <w:uiPriority w:val="99"/>
    <w:unhideWhenUsed/>
    <w:rsid w:val="00884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E1A"/>
    <w:rPr>
      <w:rFonts w:eastAsiaTheme="minorEastAsia"/>
    </w:rPr>
  </w:style>
  <w:style w:type="paragraph" w:styleId="Footer">
    <w:name w:val="footer"/>
    <w:basedOn w:val="Normal"/>
    <w:link w:val="FooterChar"/>
    <w:uiPriority w:val="99"/>
    <w:semiHidden/>
    <w:unhideWhenUsed/>
    <w:rsid w:val="00884E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4E1A"/>
    <w:rPr>
      <w:rFonts w:eastAsiaTheme="minorEastAsia"/>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A0948"/>
    <w:pPr>
      <w:spacing w:line="240" w:lineRule="auto"/>
    </w:pPr>
    <w:rPr>
      <w:sz w:val="20"/>
      <w:szCs w:val="20"/>
    </w:rPr>
  </w:style>
  <w:style w:type="character" w:customStyle="1" w:styleId="CommentTextChar">
    <w:name w:val="Comment Text Char"/>
    <w:basedOn w:val="DefaultParagraphFont"/>
    <w:link w:val="CommentText"/>
    <w:uiPriority w:val="99"/>
    <w:semiHidden/>
    <w:rsid w:val="007A0948"/>
    <w:rPr>
      <w:rFonts w:eastAsiaTheme="minorEastAsi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6776</Words>
  <Characters>38627</Characters>
  <Application>Microsoft Office Word</Application>
  <DocSecurity>0</DocSecurity>
  <Lines>321</Lines>
  <Paragraphs>90</Paragraphs>
  <ScaleCrop>false</ScaleCrop>
  <Company/>
  <LinksUpToDate>false</LinksUpToDate>
  <CharactersWithSpaces>45313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2</cp:revision>
  <dcterms:created xsi:type="dcterms:W3CDTF">2018-03-28T22:46:00Z</dcterms:created>
  <dcterms:modified xsi:type="dcterms:W3CDTF">2018-03-28T22:46:00Z</dcterms:modified>
</cp:coreProperties>
</file>